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F4C1" w14:textId="5326996D" w:rsidR="00B26A3A" w:rsidRPr="003F506D" w:rsidRDefault="004631EB" w:rsidP="00CE2CA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>MARAVILL</w:t>
      </w:r>
      <w:r w:rsidR="00BC26DE">
        <w:rPr>
          <w:rFonts w:ascii="Times New Roman" w:hAnsi="Times New Roman" w:cs="Times New Roman"/>
          <w:b/>
          <w:bCs/>
          <w:sz w:val="36"/>
          <w:szCs w:val="36"/>
          <w:lang w:val="es-ES"/>
        </w:rPr>
        <w:t>AS DE DUBÁI</w:t>
      </w:r>
      <w:r w:rsidR="00AF4963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</w:t>
      </w:r>
      <w:r w:rsidR="00CE2CAB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2</w:t>
      </w:r>
      <w:r w:rsidR="00B26A3A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.</w:t>
      </w:r>
      <w:r w:rsidR="00CE2CAB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025 – 2</w:t>
      </w:r>
      <w:r w:rsidR="00B26A3A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.</w:t>
      </w:r>
      <w:r w:rsidR="00CE2CAB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026</w:t>
      </w:r>
    </w:p>
    <w:p w14:paraId="460F89EA" w14:textId="176024A2" w:rsidR="00CE2CAB" w:rsidRPr="003F506D" w:rsidRDefault="00CA4609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5 </w:t>
      </w:r>
      <w:proofErr w:type="gramStart"/>
      <w:r w:rsidR="00CE2CAB" w:rsidRPr="003F506D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CE2CAB" w:rsidRPr="003F506D">
        <w:rPr>
          <w:rFonts w:ascii="Times New Roman" w:hAnsi="Times New Roman" w:cs="Times New Roman"/>
          <w:b/>
          <w:bCs/>
          <w:lang w:val="es-ES"/>
        </w:rPr>
        <w:t xml:space="preserve"> / </w:t>
      </w:r>
      <w:r>
        <w:rPr>
          <w:rFonts w:ascii="Times New Roman" w:hAnsi="Times New Roman" w:cs="Times New Roman"/>
          <w:b/>
          <w:bCs/>
          <w:lang w:val="es-ES"/>
        </w:rPr>
        <w:t xml:space="preserve">4 </w:t>
      </w:r>
      <w:r w:rsidR="00CE2CAB" w:rsidRPr="003F506D">
        <w:rPr>
          <w:rFonts w:ascii="Times New Roman" w:hAnsi="Times New Roman" w:cs="Times New Roman"/>
          <w:b/>
          <w:bCs/>
          <w:lang w:val="es-ES"/>
        </w:rPr>
        <w:t>Noches</w:t>
      </w:r>
    </w:p>
    <w:p w14:paraId="62885D2B" w14:textId="77777777" w:rsidR="00CE2CAB" w:rsidRPr="003F506D" w:rsidRDefault="00CE2CAB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1FFDC35" w14:textId="77777777" w:rsidR="00271327" w:rsidRDefault="00271327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3A27829B" w14:textId="24959AC9" w:rsidR="00CE2CAB" w:rsidRPr="003F506D" w:rsidRDefault="00022EB5" w:rsidP="00271327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Salidas</w:t>
      </w:r>
      <w:r w:rsidR="004631EB">
        <w:rPr>
          <w:rFonts w:ascii="Times New Roman" w:hAnsi="Times New Roman" w:cs="Times New Roman"/>
          <w:b/>
          <w:bCs/>
          <w:lang w:val="es-ES"/>
        </w:rPr>
        <w:t xml:space="preserve"> diarias, e</w:t>
      </w:r>
      <w:r w:rsidR="004631EB" w:rsidRPr="004631EB">
        <w:rPr>
          <w:rFonts w:ascii="Times New Roman" w:hAnsi="Times New Roman" w:cs="Times New Roman"/>
          <w:b/>
          <w:bCs/>
          <w:lang w:val="es-ES"/>
        </w:rPr>
        <w:t xml:space="preserve">xcepto martes </w:t>
      </w:r>
      <w:r w:rsidR="004631EB">
        <w:rPr>
          <w:rFonts w:ascii="Times New Roman" w:hAnsi="Times New Roman" w:cs="Times New Roman"/>
          <w:b/>
          <w:bCs/>
          <w:lang w:val="es-ES"/>
        </w:rPr>
        <w:t>y</w:t>
      </w:r>
      <w:r w:rsidR="004631EB" w:rsidRPr="004631EB">
        <w:rPr>
          <w:rFonts w:ascii="Times New Roman" w:hAnsi="Times New Roman" w:cs="Times New Roman"/>
          <w:b/>
          <w:bCs/>
          <w:lang w:val="es-ES"/>
        </w:rPr>
        <w:t xml:space="preserve"> domingo</w:t>
      </w:r>
      <w:r w:rsidR="00AE64FA">
        <w:rPr>
          <w:rFonts w:ascii="Times New Roman" w:hAnsi="Times New Roman" w:cs="Times New Roman"/>
          <w:b/>
          <w:bCs/>
          <w:lang w:val="es-ES"/>
        </w:rPr>
        <w:t>s</w:t>
      </w:r>
      <w:r w:rsidR="004631EB">
        <w:rPr>
          <w:rFonts w:ascii="Times New Roman" w:hAnsi="Times New Roman" w:cs="Times New Roman"/>
          <w:b/>
          <w:bCs/>
          <w:lang w:val="es-ES"/>
        </w:rPr>
        <w:t>.</w:t>
      </w:r>
      <w:r w:rsidR="004631EB">
        <w:rPr>
          <w:rFonts w:ascii="Times New Roman" w:hAnsi="Times New Roman" w:cs="Times New Roman"/>
          <w:b/>
          <w:bCs/>
          <w:lang w:val="es-ES"/>
        </w:rPr>
        <w:tab/>
      </w:r>
      <w:r w:rsidR="004631EB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 w:rsidRPr="003F506D"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5256E45A" w14:textId="01263969" w:rsidR="00CE2CAB" w:rsidRPr="003F506D" w:rsidRDefault="00CE2CAB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Vigencia: Del 01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Octubre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2.025 al 30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Abril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</w:t>
      </w:r>
      <w:r w:rsidR="00C52C39" w:rsidRPr="003F506D">
        <w:rPr>
          <w:rFonts w:ascii="Times New Roman" w:hAnsi="Times New Roman" w:cs="Times New Roman"/>
          <w:b/>
          <w:bCs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lang w:val="es-ES"/>
        </w:rPr>
        <w:t>026</w:t>
      </w:r>
    </w:p>
    <w:p w14:paraId="538EF37C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38FD039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18AF1F8" w14:textId="1F4C1B26" w:rsidR="00C52C39" w:rsidRPr="003F506D" w:rsidRDefault="00C52C39" w:rsidP="00C52C39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17F24C1A" w14:textId="77777777" w:rsidR="00C52C39" w:rsidRPr="009C734C" w:rsidRDefault="00C52C39" w:rsidP="00C52C39">
      <w:pPr>
        <w:jc w:val="center"/>
        <w:rPr>
          <w:rFonts w:ascii="Times New Roman" w:hAnsi="Times New Roman" w:cs="Times New Roman"/>
          <w:lang w:val="es-ES"/>
        </w:rPr>
      </w:pPr>
    </w:p>
    <w:p w14:paraId="23F1881D" w14:textId="7777777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01 DUBAI </w:t>
      </w:r>
    </w:p>
    <w:p w14:paraId="0E3F5644" w14:textId="3DBAB6AC" w:rsidR="0051549A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 xml:space="preserve">Recepción en el aeropuerto y traslado al Hotel </w:t>
      </w:r>
      <w:r w:rsidR="002D17C1">
        <w:rPr>
          <w:rFonts w:ascii="Times New Roman" w:hAnsi="Times New Roman" w:cs="Times New Roman"/>
          <w:lang w:val="es-ES"/>
        </w:rPr>
        <w:t>y</w:t>
      </w:r>
      <w:r w:rsidRPr="0051549A">
        <w:rPr>
          <w:rFonts w:ascii="Times New Roman" w:hAnsi="Times New Roman" w:cs="Times New Roman"/>
          <w:lang w:val="es-ES"/>
        </w:rPr>
        <w:t xml:space="preserve"> alojamiento.</w:t>
      </w:r>
    </w:p>
    <w:p w14:paraId="36D208D2" w14:textId="77777777" w:rsidR="00CA4609" w:rsidRDefault="00CA4609" w:rsidP="0051549A">
      <w:pPr>
        <w:jc w:val="both"/>
        <w:rPr>
          <w:rFonts w:ascii="Times New Roman" w:hAnsi="Times New Roman" w:cs="Times New Roman"/>
          <w:lang w:val="es-ES"/>
        </w:rPr>
      </w:pPr>
    </w:p>
    <w:p w14:paraId="67CE7725" w14:textId="77777777" w:rsidR="00C72318" w:rsidRPr="009F2C21" w:rsidRDefault="00CA4609" w:rsidP="00CA4609">
      <w:pPr>
        <w:jc w:val="both"/>
        <w:rPr>
          <w:rFonts w:ascii="Times New Roman" w:hAnsi="Times New Roman" w:cs="Times New Roman"/>
          <w:lang w:val="it-IT"/>
        </w:rPr>
      </w:pPr>
      <w:r w:rsidRPr="009F2C21">
        <w:rPr>
          <w:rFonts w:ascii="Times New Roman" w:hAnsi="Times New Roman" w:cs="Times New Roman"/>
          <w:b/>
          <w:bCs/>
          <w:lang w:val="it-IT"/>
        </w:rPr>
        <w:t xml:space="preserve">DIA 02 </w:t>
      </w:r>
      <w:r w:rsidR="00C72318" w:rsidRPr="009F2C21">
        <w:rPr>
          <w:rFonts w:ascii="Times New Roman" w:hAnsi="Times New Roman" w:cs="Times New Roman"/>
          <w:b/>
          <w:bCs/>
          <w:lang w:val="it-IT"/>
        </w:rPr>
        <w:t xml:space="preserve">DUBÁI - </w:t>
      </w:r>
      <w:r w:rsidRPr="009F2C21">
        <w:rPr>
          <w:rFonts w:ascii="Times New Roman" w:hAnsi="Times New Roman" w:cs="Times New Roman"/>
          <w:b/>
          <w:bCs/>
          <w:lang w:val="it-IT"/>
        </w:rPr>
        <w:t>SAFARI EN 4X4 / CENA BBQ</w:t>
      </w:r>
      <w:r w:rsidRPr="009F2C21">
        <w:rPr>
          <w:rFonts w:ascii="Times New Roman" w:hAnsi="Times New Roman" w:cs="Times New Roman"/>
          <w:lang w:val="it-IT"/>
        </w:rPr>
        <w:t xml:space="preserve"> </w:t>
      </w:r>
    </w:p>
    <w:p w14:paraId="368C9F30" w14:textId="6D3104C3" w:rsidR="00CA4609" w:rsidRDefault="00CA4609" w:rsidP="00CA4609">
      <w:pPr>
        <w:jc w:val="both"/>
        <w:rPr>
          <w:rFonts w:ascii="Times New Roman" w:hAnsi="Times New Roman" w:cs="Times New Roman"/>
          <w:lang w:val="es-ES"/>
        </w:rPr>
      </w:pPr>
      <w:r w:rsidRPr="00CA4609">
        <w:rPr>
          <w:rFonts w:ascii="Times New Roman" w:hAnsi="Times New Roman" w:cs="Times New Roman"/>
          <w:lang w:val="es-ES"/>
        </w:rPr>
        <w:t>Desayuno en el hotel. Mañana libre. Por la tarde nuestra excursión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más popular. Los </w:t>
      </w:r>
      <w:proofErr w:type="spellStart"/>
      <w:r w:rsidRPr="00CA4609">
        <w:rPr>
          <w:rFonts w:ascii="Times New Roman" w:hAnsi="Times New Roman" w:cs="Times New Roman"/>
          <w:lang w:val="es-ES"/>
        </w:rPr>
        <w:t>Land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A4609">
        <w:rPr>
          <w:rFonts w:ascii="Times New Roman" w:hAnsi="Times New Roman" w:cs="Times New Roman"/>
          <w:lang w:val="es-ES"/>
        </w:rPr>
        <w:t>Cruisers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(6 personas por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vehículo) los recogerán para un excitante trayecto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por las fantásticas altas dunas. Podrá hacer unas fotos únicas de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la puesta de </w:t>
      </w:r>
      <w:r w:rsidR="00104D27" w:rsidRPr="00CA4609">
        <w:rPr>
          <w:rFonts w:ascii="Times New Roman" w:hAnsi="Times New Roman" w:cs="Times New Roman"/>
          <w:lang w:val="es-ES"/>
        </w:rPr>
        <w:t>sol árabe</w:t>
      </w:r>
      <w:r w:rsidRPr="00CA4609">
        <w:rPr>
          <w:rFonts w:ascii="Times New Roman" w:hAnsi="Times New Roman" w:cs="Times New Roman"/>
          <w:lang w:val="es-ES"/>
        </w:rPr>
        <w:t>. Una vez que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desaparezca el sol, detrás de las dunas de arena dorada, nos dirigiremos 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nuestro Campo en el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Desierto. El olor a la fresca Brocheta a la parrilla y el cordero, las hogueras, el olor a las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tradicionales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pipas de agua y los relajantes sonidos de la música </w:t>
      </w:r>
      <w:r w:rsidR="00104D27" w:rsidRPr="00CA4609">
        <w:rPr>
          <w:rFonts w:ascii="Times New Roman" w:hAnsi="Times New Roman" w:cs="Times New Roman"/>
          <w:lang w:val="es-ES"/>
        </w:rPr>
        <w:t>árabe</w:t>
      </w:r>
      <w:r w:rsidRPr="00CA4609">
        <w:rPr>
          <w:rFonts w:ascii="Times New Roman" w:hAnsi="Times New Roman" w:cs="Times New Roman"/>
          <w:lang w:val="es-ES"/>
        </w:rPr>
        <w:t>, le invitara a una tarde inolvidable. Después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de haber repuesto fuerzas tras la suntuosa cena, una bailarina, le mostrara el antiguo arte de la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Danza del Vientre y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el pintarse con Henna, también se encuentran incluidos, al igual que el agua,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refrescos, te y café. Regreso al hotel.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Alojamiento.</w:t>
      </w:r>
    </w:p>
    <w:p w14:paraId="58478C44" w14:textId="77777777" w:rsidR="00C72318" w:rsidRPr="00CA4609" w:rsidRDefault="00C72318" w:rsidP="00CA4609">
      <w:pPr>
        <w:jc w:val="both"/>
        <w:rPr>
          <w:rFonts w:ascii="Times New Roman" w:hAnsi="Times New Roman" w:cs="Times New Roman"/>
          <w:lang w:val="es-ES"/>
        </w:rPr>
      </w:pPr>
    </w:p>
    <w:p w14:paraId="4BC3CC41" w14:textId="40117954" w:rsidR="00CA4609" w:rsidRPr="00C72318" w:rsidRDefault="00CA4609" w:rsidP="00CA460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C72318">
        <w:rPr>
          <w:rFonts w:ascii="Times New Roman" w:hAnsi="Times New Roman" w:cs="Times New Roman"/>
          <w:b/>
          <w:bCs/>
          <w:lang w:val="es-ES"/>
        </w:rPr>
        <w:t xml:space="preserve">DIA 03 </w:t>
      </w:r>
      <w:r w:rsidR="00C72318">
        <w:rPr>
          <w:rFonts w:ascii="Times New Roman" w:hAnsi="Times New Roman" w:cs="Times New Roman"/>
          <w:b/>
          <w:bCs/>
          <w:lang w:val="es-ES"/>
        </w:rPr>
        <w:t xml:space="preserve">DUBÁI - </w:t>
      </w:r>
      <w:r w:rsidRPr="00C72318">
        <w:rPr>
          <w:rFonts w:ascii="Times New Roman" w:hAnsi="Times New Roman" w:cs="Times New Roman"/>
          <w:b/>
          <w:bCs/>
          <w:lang w:val="es-ES"/>
        </w:rPr>
        <w:t>ABU DHABI</w:t>
      </w:r>
      <w:r w:rsidR="00C72318">
        <w:rPr>
          <w:rFonts w:ascii="Times New Roman" w:hAnsi="Times New Roman" w:cs="Times New Roman"/>
          <w:b/>
          <w:bCs/>
          <w:lang w:val="es-ES"/>
        </w:rPr>
        <w:t xml:space="preserve"> – DUBÁI </w:t>
      </w:r>
      <w:r w:rsidR="00B70732">
        <w:rPr>
          <w:rFonts w:ascii="Times New Roman" w:hAnsi="Times New Roman" w:cs="Times New Roman"/>
          <w:b/>
          <w:bCs/>
          <w:lang w:val="es-ES"/>
        </w:rPr>
        <w:t xml:space="preserve">(Opera: </w:t>
      </w:r>
      <w:r w:rsidR="00917919">
        <w:rPr>
          <w:rFonts w:ascii="Times New Roman" w:hAnsi="Times New Roman" w:cs="Times New Roman"/>
          <w:b/>
          <w:bCs/>
          <w:lang w:val="es-ES"/>
        </w:rPr>
        <w:t>c</w:t>
      </w:r>
      <w:r w:rsidR="00B70732" w:rsidRPr="00B70732">
        <w:rPr>
          <w:rFonts w:ascii="Times New Roman" w:hAnsi="Times New Roman" w:cs="Times New Roman"/>
          <w:b/>
          <w:bCs/>
          <w:lang w:val="es-ES"/>
        </w:rPr>
        <w:t xml:space="preserve">ada </w:t>
      </w:r>
      <w:r w:rsidR="00917919">
        <w:rPr>
          <w:rFonts w:ascii="Times New Roman" w:hAnsi="Times New Roman" w:cs="Times New Roman"/>
          <w:b/>
          <w:bCs/>
          <w:lang w:val="es-ES"/>
        </w:rPr>
        <w:t>s</w:t>
      </w:r>
      <w:r w:rsidR="00B70732" w:rsidRPr="00B70732">
        <w:rPr>
          <w:rFonts w:ascii="Times New Roman" w:hAnsi="Times New Roman" w:cs="Times New Roman"/>
          <w:b/>
          <w:bCs/>
          <w:lang w:val="es-ES"/>
        </w:rPr>
        <w:t xml:space="preserve">ábado y </w:t>
      </w:r>
      <w:r w:rsidR="00917919">
        <w:rPr>
          <w:rFonts w:ascii="Times New Roman" w:hAnsi="Times New Roman" w:cs="Times New Roman"/>
          <w:b/>
          <w:bCs/>
          <w:lang w:val="es-ES"/>
        </w:rPr>
        <w:t>m</w:t>
      </w:r>
      <w:r w:rsidR="00B70732" w:rsidRPr="00B70732">
        <w:rPr>
          <w:rFonts w:ascii="Times New Roman" w:hAnsi="Times New Roman" w:cs="Times New Roman"/>
          <w:b/>
          <w:bCs/>
          <w:lang w:val="es-ES"/>
        </w:rPr>
        <w:t>artes</w:t>
      </w:r>
      <w:r w:rsidR="00B70732">
        <w:rPr>
          <w:rFonts w:ascii="Times New Roman" w:hAnsi="Times New Roman" w:cs="Times New Roman"/>
          <w:b/>
          <w:bCs/>
          <w:lang w:val="es-ES"/>
        </w:rPr>
        <w:t>)</w:t>
      </w:r>
    </w:p>
    <w:p w14:paraId="08558462" w14:textId="42362C80" w:rsidR="00CA4609" w:rsidRDefault="00CA4609" w:rsidP="00CA4609">
      <w:pPr>
        <w:jc w:val="both"/>
        <w:rPr>
          <w:rFonts w:ascii="Times New Roman" w:hAnsi="Times New Roman" w:cs="Times New Roman"/>
          <w:lang w:val="es-ES"/>
        </w:rPr>
      </w:pPr>
      <w:r w:rsidRPr="00CA4609">
        <w:rPr>
          <w:rFonts w:ascii="Times New Roman" w:hAnsi="Times New Roman" w:cs="Times New Roman"/>
          <w:lang w:val="es-ES"/>
        </w:rPr>
        <w:t xml:space="preserve">Desayuno. Recorrido de 2 horas desde Dubái, pasando por el puerto </w:t>
      </w:r>
      <w:proofErr w:type="spellStart"/>
      <w:r w:rsidRPr="00CA4609">
        <w:rPr>
          <w:rFonts w:ascii="Times New Roman" w:hAnsi="Times New Roman" w:cs="Times New Roman"/>
          <w:lang w:val="es-ES"/>
        </w:rPr>
        <w:t>Jebel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Ali, el puerto más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grande del mundo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realizado por los hombres, hasta la capital de los Emiratos. Parada para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tomar fotos en la Residencia </w:t>
      </w:r>
      <w:proofErr w:type="spellStart"/>
      <w:r w:rsidRPr="00CA4609">
        <w:rPr>
          <w:rFonts w:ascii="Times New Roman" w:hAnsi="Times New Roman" w:cs="Times New Roman"/>
          <w:lang w:val="es-ES"/>
        </w:rPr>
        <w:t>Jazirra</w:t>
      </w:r>
      <w:proofErr w:type="spellEnd"/>
      <w:r w:rsidRPr="00CA4609">
        <w:rPr>
          <w:rFonts w:ascii="Times New Roman" w:hAnsi="Times New Roman" w:cs="Times New Roman"/>
          <w:lang w:val="es-ES"/>
        </w:rPr>
        <w:t>, ex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residencia del Jeque </w:t>
      </w:r>
      <w:proofErr w:type="spellStart"/>
      <w:r w:rsidRPr="00CA4609">
        <w:rPr>
          <w:rFonts w:ascii="Times New Roman" w:hAnsi="Times New Roman" w:cs="Times New Roman"/>
          <w:lang w:val="es-ES"/>
        </w:rPr>
        <w:t>Zayed</w:t>
      </w:r>
      <w:proofErr w:type="spellEnd"/>
      <w:r w:rsidRPr="00CA4609">
        <w:rPr>
          <w:rFonts w:ascii="Times New Roman" w:hAnsi="Times New Roman" w:cs="Times New Roman"/>
          <w:lang w:val="es-ES"/>
        </w:rPr>
        <w:t>. Admiraremos la Mezquita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del Jeque </w:t>
      </w:r>
      <w:proofErr w:type="spellStart"/>
      <w:r w:rsidRPr="00CA4609">
        <w:rPr>
          <w:rFonts w:ascii="Times New Roman" w:hAnsi="Times New Roman" w:cs="Times New Roman"/>
          <w:lang w:val="es-ES"/>
        </w:rPr>
        <w:t>Zayed</w:t>
      </w:r>
      <w:proofErr w:type="spellEnd"/>
      <w:r w:rsidRPr="00CA4609">
        <w:rPr>
          <w:rFonts w:ascii="Times New Roman" w:hAnsi="Times New Roman" w:cs="Times New Roman"/>
          <w:lang w:val="es-ES"/>
        </w:rPr>
        <w:t>, la 3ra más grande del mundo, así como la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tumba del mismo, antiguo presidente de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los Emiratos y padre de la nación. Continuación hasta el puente de Al</w:t>
      </w:r>
      <w:r w:rsidR="00C7231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A4609">
        <w:rPr>
          <w:rFonts w:ascii="Times New Roman" w:hAnsi="Times New Roman" w:cs="Times New Roman"/>
          <w:lang w:val="es-ES"/>
        </w:rPr>
        <w:t>Maqta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pasando por una de las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áreas más ricas de Abu </w:t>
      </w:r>
      <w:proofErr w:type="spellStart"/>
      <w:r w:rsidRPr="00CA4609">
        <w:rPr>
          <w:rFonts w:ascii="Times New Roman" w:hAnsi="Times New Roman" w:cs="Times New Roman"/>
          <w:lang w:val="es-ES"/>
        </w:rPr>
        <w:t>Dhabi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, el Área de los </w:t>
      </w:r>
      <w:proofErr w:type="gramStart"/>
      <w:r w:rsidRPr="00CA4609">
        <w:rPr>
          <w:rFonts w:ascii="Times New Roman" w:hAnsi="Times New Roman" w:cs="Times New Roman"/>
          <w:lang w:val="es-ES"/>
        </w:rPr>
        <w:t>Ministros</w:t>
      </w:r>
      <w:proofErr w:type="gramEnd"/>
      <w:r w:rsidRPr="00CA4609">
        <w:rPr>
          <w:rFonts w:ascii="Times New Roman" w:hAnsi="Times New Roman" w:cs="Times New Roman"/>
          <w:lang w:val="es-ES"/>
        </w:rPr>
        <w:t xml:space="preserve">. Llegada a la calle </w:t>
      </w:r>
      <w:proofErr w:type="spellStart"/>
      <w:r w:rsidRPr="00CA4609">
        <w:rPr>
          <w:rFonts w:ascii="Times New Roman" w:hAnsi="Times New Roman" w:cs="Times New Roman"/>
          <w:lang w:val="es-ES"/>
        </w:rPr>
        <w:t>Corniche</w:t>
      </w:r>
      <w:proofErr w:type="spellEnd"/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que es comparada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con Manhattan. Parada para fotos en el hotel </w:t>
      </w:r>
      <w:proofErr w:type="spellStart"/>
      <w:r w:rsidRPr="00CA4609">
        <w:rPr>
          <w:rFonts w:ascii="Times New Roman" w:hAnsi="Times New Roman" w:cs="Times New Roman"/>
          <w:lang w:val="es-ES"/>
        </w:rPr>
        <w:t>Emirates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Palace. Este hotel tiene su propio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helipuerto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y puerto, conocido como el caro construido. Continuamos a Al Batee </w:t>
      </w:r>
      <w:proofErr w:type="spellStart"/>
      <w:r w:rsidRPr="00CA4609">
        <w:rPr>
          <w:rFonts w:ascii="Times New Roman" w:hAnsi="Times New Roman" w:cs="Times New Roman"/>
          <w:lang w:val="es-ES"/>
        </w:rPr>
        <w:t>Area</w:t>
      </w:r>
      <w:proofErr w:type="spellEnd"/>
      <w:r w:rsidRPr="00CA4609">
        <w:rPr>
          <w:rFonts w:ascii="Times New Roman" w:hAnsi="Times New Roman" w:cs="Times New Roman"/>
          <w:lang w:val="es-ES"/>
        </w:rPr>
        <w:t>, donde se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encuentran los palacios de la</w:t>
      </w:r>
      <w:r w:rsidR="00C72318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familia Real. Regreso a Dubái. Alojamiento.</w:t>
      </w:r>
    </w:p>
    <w:p w14:paraId="0ECAF371" w14:textId="77777777" w:rsidR="00C72318" w:rsidRPr="00CA4609" w:rsidRDefault="00C72318" w:rsidP="00CA4609">
      <w:pPr>
        <w:jc w:val="both"/>
        <w:rPr>
          <w:rFonts w:ascii="Times New Roman" w:hAnsi="Times New Roman" w:cs="Times New Roman"/>
          <w:lang w:val="es-ES"/>
        </w:rPr>
      </w:pPr>
    </w:p>
    <w:p w14:paraId="4A11586B" w14:textId="365587E7" w:rsidR="00C44F37" w:rsidRPr="00C44F37" w:rsidRDefault="00CA4609" w:rsidP="00CA460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C44F37">
        <w:rPr>
          <w:rFonts w:ascii="Times New Roman" w:hAnsi="Times New Roman" w:cs="Times New Roman"/>
          <w:b/>
          <w:bCs/>
          <w:lang w:val="es-ES"/>
        </w:rPr>
        <w:t xml:space="preserve">DIA 04 </w:t>
      </w:r>
      <w:r w:rsidR="00C44F37" w:rsidRPr="00C44F37">
        <w:rPr>
          <w:rFonts w:ascii="Times New Roman" w:hAnsi="Times New Roman" w:cs="Times New Roman"/>
          <w:b/>
          <w:bCs/>
          <w:lang w:val="es-ES"/>
        </w:rPr>
        <w:t>DUBÁI MODERNO</w:t>
      </w:r>
      <w:r w:rsidR="00AF4963">
        <w:rPr>
          <w:rFonts w:ascii="Times New Roman" w:hAnsi="Times New Roman" w:cs="Times New Roman"/>
          <w:b/>
          <w:bCs/>
          <w:lang w:val="es-ES"/>
        </w:rPr>
        <w:t xml:space="preserve"> (Opera: c</w:t>
      </w:r>
      <w:r w:rsidR="00AF4963" w:rsidRPr="00AF4963">
        <w:rPr>
          <w:rFonts w:ascii="Times New Roman" w:hAnsi="Times New Roman" w:cs="Times New Roman"/>
          <w:b/>
          <w:bCs/>
          <w:lang w:val="es-ES"/>
        </w:rPr>
        <w:t>ada domingo, martes</w:t>
      </w:r>
      <w:r w:rsidR="00AF4963">
        <w:rPr>
          <w:rFonts w:ascii="Times New Roman" w:hAnsi="Times New Roman" w:cs="Times New Roman"/>
          <w:b/>
          <w:bCs/>
          <w:lang w:val="es-ES"/>
        </w:rPr>
        <w:t xml:space="preserve"> y j</w:t>
      </w:r>
      <w:r w:rsidR="00AF4963" w:rsidRPr="00AF4963">
        <w:rPr>
          <w:rFonts w:ascii="Times New Roman" w:hAnsi="Times New Roman" w:cs="Times New Roman"/>
          <w:b/>
          <w:bCs/>
          <w:lang w:val="es-ES"/>
        </w:rPr>
        <w:t>ueves</w:t>
      </w:r>
      <w:r w:rsidR="00AF4963">
        <w:rPr>
          <w:rFonts w:ascii="Times New Roman" w:hAnsi="Times New Roman" w:cs="Times New Roman"/>
          <w:b/>
          <w:bCs/>
          <w:lang w:val="es-ES"/>
        </w:rPr>
        <w:t>)</w:t>
      </w:r>
    </w:p>
    <w:p w14:paraId="73E23771" w14:textId="23402848" w:rsidR="00CA4609" w:rsidRDefault="00CA4609" w:rsidP="00CA4609">
      <w:pPr>
        <w:jc w:val="both"/>
        <w:rPr>
          <w:rFonts w:ascii="Times New Roman" w:hAnsi="Times New Roman" w:cs="Times New Roman"/>
          <w:lang w:val="es-ES"/>
        </w:rPr>
      </w:pPr>
      <w:r w:rsidRPr="00CA4609">
        <w:rPr>
          <w:rFonts w:ascii="Times New Roman" w:hAnsi="Times New Roman" w:cs="Times New Roman"/>
          <w:lang w:val="es-ES"/>
        </w:rPr>
        <w:t>Desayuno y Visita de medio día a la parte más moderna de la ciudad,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comenzando por </w:t>
      </w:r>
      <w:proofErr w:type="spellStart"/>
      <w:r w:rsidRPr="00CA4609">
        <w:rPr>
          <w:rFonts w:ascii="Times New Roman" w:hAnsi="Times New Roman" w:cs="Times New Roman"/>
          <w:lang w:val="es-ES"/>
        </w:rPr>
        <w:t>Souk</w:t>
      </w:r>
      <w:proofErr w:type="spellEnd"/>
      <w:r w:rsidR="00104D2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A4609">
        <w:rPr>
          <w:rFonts w:ascii="Times New Roman" w:hAnsi="Times New Roman" w:cs="Times New Roman"/>
          <w:lang w:val="es-ES"/>
        </w:rPr>
        <w:t>Madinat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Jumeirah, un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mercado moderno con aspecto antiguo para ver y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comprar suvenires y disfrutar de vistas únicas al Burj Al </w:t>
      </w:r>
      <w:proofErr w:type="spellStart"/>
      <w:r w:rsidRPr="00CA4609">
        <w:rPr>
          <w:rFonts w:ascii="Times New Roman" w:hAnsi="Times New Roman" w:cs="Times New Roman"/>
          <w:lang w:val="es-ES"/>
        </w:rPr>
        <w:t>Arab</w:t>
      </w:r>
      <w:proofErr w:type="spellEnd"/>
      <w:r w:rsidRPr="00CA4609">
        <w:rPr>
          <w:rFonts w:ascii="Times New Roman" w:hAnsi="Times New Roman" w:cs="Times New Roman"/>
          <w:lang w:val="es-ES"/>
        </w:rPr>
        <w:t>.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Después, traslado hacia la isla de la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palmera “Palm Jumeirah” para ver, el hotel Atlantis </w:t>
      </w:r>
      <w:proofErr w:type="spellStart"/>
      <w:r w:rsidRPr="00CA4609">
        <w:rPr>
          <w:rFonts w:ascii="Times New Roman" w:hAnsi="Times New Roman" w:cs="Times New Roman"/>
          <w:lang w:val="es-ES"/>
        </w:rPr>
        <w:t>The</w:t>
      </w:r>
      <w:proofErr w:type="spellEnd"/>
      <w:r w:rsidRPr="00CA4609">
        <w:rPr>
          <w:rFonts w:ascii="Times New Roman" w:hAnsi="Times New Roman" w:cs="Times New Roman"/>
          <w:lang w:val="es-ES"/>
        </w:rPr>
        <w:t xml:space="preserve"> Palm y sus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impresionantes visitas. A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continuación, traslado a la Marina de Dubái, el proyecto costero más grande en su estilo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y veremos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modelos de estos asombrosos proyectos que nos permitirán conocer más sobre el apasionante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futuro del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comercio y los negocios en el Emirato. Por </w:t>
      </w:r>
      <w:r w:rsidR="00104D27" w:rsidRPr="00CA4609">
        <w:rPr>
          <w:rFonts w:ascii="Times New Roman" w:hAnsi="Times New Roman" w:cs="Times New Roman"/>
          <w:lang w:val="es-ES"/>
        </w:rPr>
        <w:t>último,</w:t>
      </w:r>
      <w:r w:rsidRPr="00CA4609">
        <w:rPr>
          <w:rFonts w:ascii="Times New Roman" w:hAnsi="Times New Roman" w:cs="Times New Roman"/>
          <w:lang w:val="es-ES"/>
        </w:rPr>
        <w:t xml:space="preserve"> visitaremos el </w:t>
      </w:r>
      <w:r w:rsidR="00104D27" w:rsidRPr="00CA4609">
        <w:rPr>
          <w:rFonts w:ascii="Times New Roman" w:hAnsi="Times New Roman" w:cs="Times New Roman"/>
          <w:lang w:val="es-ES"/>
        </w:rPr>
        <w:t>Dubái</w:t>
      </w:r>
      <w:r w:rsidRPr="00CA4609">
        <w:rPr>
          <w:rFonts w:ascii="Times New Roman" w:hAnsi="Times New Roman" w:cs="Times New Roman"/>
          <w:lang w:val="es-ES"/>
        </w:rPr>
        <w:t xml:space="preserve"> Mall, el centro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comercial más grande del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mundo, donde apreciaremos el espectacular Burj Khalifa (entrada NO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incluida) el edificio más alto del mundo.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Posibilidad de quedarse en el </w:t>
      </w:r>
      <w:r w:rsidR="00104D27" w:rsidRPr="00CA4609">
        <w:rPr>
          <w:rFonts w:ascii="Times New Roman" w:hAnsi="Times New Roman" w:cs="Times New Roman"/>
          <w:lang w:val="es-ES"/>
        </w:rPr>
        <w:t>Dubái</w:t>
      </w:r>
      <w:r w:rsidRPr="00CA4609">
        <w:rPr>
          <w:rFonts w:ascii="Times New Roman" w:hAnsi="Times New Roman" w:cs="Times New Roman"/>
          <w:lang w:val="es-ES"/>
        </w:rPr>
        <w:t xml:space="preserve"> Mall para disfrutar de las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fuentes de aguas danzantes, acuario, pista de patinaje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 xml:space="preserve">sobre hielo y sus </w:t>
      </w:r>
      <w:r w:rsidR="00104D27" w:rsidRPr="00CA4609">
        <w:rPr>
          <w:rFonts w:ascii="Times New Roman" w:hAnsi="Times New Roman" w:cs="Times New Roman"/>
          <w:lang w:val="es-ES"/>
        </w:rPr>
        <w:t>más</w:t>
      </w:r>
      <w:r w:rsidRPr="00CA4609">
        <w:rPr>
          <w:rFonts w:ascii="Times New Roman" w:hAnsi="Times New Roman" w:cs="Times New Roman"/>
          <w:lang w:val="es-ES"/>
        </w:rPr>
        <w:t xml:space="preserve"> de 1000 tiendas. Vuelta</w:t>
      </w:r>
      <w:r w:rsidR="00C44F37">
        <w:rPr>
          <w:rFonts w:ascii="Times New Roman" w:hAnsi="Times New Roman" w:cs="Times New Roman"/>
          <w:lang w:val="es-ES"/>
        </w:rPr>
        <w:t xml:space="preserve"> </w:t>
      </w:r>
      <w:r w:rsidRPr="00CA4609">
        <w:rPr>
          <w:rFonts w:ascii="Times New Roman" w:hAnsi="Times New Roman" w:cs="Times New Roman"/>
          <w:lang w:val="es-ES"/>
        </w:rPr>
        <w:t>al hotel por su cuenta.</w:t>
      </w:r>
      <w:r w:rsidR="00C44F37">
        <w:rPr>
          <w:rFonts w:ascii="Times New Roman" w:hAnsi="Times New Roman" w:cs="Times New Roman"/>
          <w:lang w:val="es-ES"/>
        </w:rPr>
        <w:t xml:space="preserve"> Alojamiento. </w:t>
      </w:r>
    </w:p>
    <w:p w14:paraId="5F77E238" w14:textId="77777777" w:rsidR="00C44F37" w:rsidRPr="00CA4609" w:rsidRDefault="00C44F37" w:rsidP="00CA4609">
      <w:pPr>
        <w:jc w:val="both"/>
        <w:rPr>
          <w:rFonts w:ascii="Times New Roman" w:hAnsi="Times New Roman" w:cs="Times New Roman"/>
          <w:lang w:val="es-ES"/>
        </w:rPr>
      </w:pPr>
    </w:p>
    <w:p w14:paraId="1D768AF0" w14:textId="77777777" w:rsidR="00322AA1" w:rsidRPr="00322AA1" w:rsidRDefault="00CA4609" w:rsidP="00CA460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22AA1">
        <w:rPr>
          <w:rFonts w:ascii="Times New Roman" w:hAnsi="Times New Roman" w:cs="Times New Roman"/>
          <w:b/>
          <w:bCs/>
          <w:lang w:val="es-ES"/>
        </w:rPr>
        <w:t xml:space="preserve">DIA 5 DUBAI </w:t>
      </w:r>
    </w:p>
    <w:p w14:paraId="183F66B5" w14:textId="77777777" w:rsidR="00530B9F" w:rsidRDefault="00CA4609" w:rsidP="00530B9F">
      <w:pPr>
        <w:jc w:val="both"/>
        <w:rPr>
          <w:rFonts w:ascii="Times New Roman" w:hAnsi="Times New Roman" w:cs="Times New Roman"/>
          <w:lang w:val="es-ES"/>
        </w:rPr>
      </w:pPr>
      <w:r w:rsidRPr="00CA4609">
        <w:rPr>
          <w:rFonts w:ascii="Times New Roman" w:hAnsi="Times New Roman" w:cs="Times New Roman"/>
          <w:lang w:val="es-ES"/>
        </w:rPr>
        <w:t>Desayuno y a la hora convenida traslado al aeropuerto para tomar su vuelo de regreso</w:t>
      </w:r>
      <w:r w:rsidR="00322AA1">
        <w:rPr>
          <w:rFonts w:ascii="Times New Roman" w:hAnsi="Times New Roman" w:cs="Times New Roman"/>
          <w:lang w:val="es-ES"/>
        </w:rPr>
        <w:t xml:space="preserve"> y…</w:t>
      </w:r>
    </w:p>
    <w:p w14:paraId="53B81452" w14:textId="77777777" w:rsidR="00530B9F" w:rsidRDefault="00530B9F" w:rsidP="00530B9F">
      <w:pPr>
        <w:jc w:val="both"/>
        <w:rPr>
          <w:rFonts w:ascii="Times New Roman" w:hAnsi="Times New Roman" w:cs="Times New Roman"/>
          <w:lang w:val="es-ES"/>
        </w:rPr>
      </w:pPr>
    </w:p>
    <w:p w14:paraId="405F13A6" w14:textId="77777777" w:rsidR="00530B9F" w:rsidRDefault="00530B9F" w:rsidP="00530B9F">
      <w:pPr>
        <w:jc w:val="both"/>
        <w:rPr>
          <w:rFonts w:ascii="Times New Roman" w:hAnsi="Times New Roman" w:cs="Times New Roman"/>
          <w:lang w:val="es-ES"/>
        </w:rPr>
      </w:pPr>
    </w:p>
    <w:p w14:paraId="66E7AFDD" w14:textId="57F07FAE" w:rsidR="005A5475" w:rsidRDefault="005A5475" w:rsidP="00530B9F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462C4BC7" w14:textId="77777777" w:rsidR="00B26A3A" w:rsidRDefault="00B26A3A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64799CD" w14:textId="77777777" w:rsidR="00104D27" w:rsidRPr="009C734C" w:rsidRDefault="00104D27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3036936" w14:textId="7585D02A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lastRenderedPageBreak/>
        <w:t xml:space="preserve">PRECIOS POR PERSONA PARA PAGAR EN DOLARES </w:t>
      </w:r>
    </w:p>
    <w:p w14:paraId="0F89C81E" w14:textId="77777777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792"/>
        <w:gridCol w:w="2221"/>
        <w:gridCol w:w="2501"/>
        <w:gridCol w:w="2518"/>
      </w:tblGrid>
      <w:tr w:rsidR="00B26A3A" w:rsidRPr="009C734C" w14:paraId="7505CC47" w14:textId="77777777" w:rsidTr="00763F7A">
        <w:tc>
          <w:tcPr>
            <w:tcW w:w="2792" w:type="dxa"/>
            <w:vAlign w:val="center"/>
          </w:tcPr>
          <w:p w14:paraId="54692DA6" w14:textId="6F6A9BCD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Categoría de Hotel</w:t>
            </w:r>
          </w:p>
        </w:tc>
        <w:tc>
          <w:tcPr>
            <w:tcW w:w="2221" w:type="dxa"/>
            <w:vAlign w:val="center"/>
          </w:tcPr>
          <w:p w14:paraId="62092247" w14:textId="048B2191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2501" w:type="dxa"/>
            <w:vAlign w:val="center"/>
          </w:tcPr>
          <w:p w14:paraId="1374E9FE" w14:textId="3EF08F5B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2518" w:type="dxa"/>
            <w:vAlign w:val="center"/>
          </w:tcPr>
          <w:p w14:paraId="5E126C28" w14:textId="77777777" w:rsid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074173D8" w14:textId="42D0C495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</w:tr>
      <w:tr w:rsidR="00B26A3A" w:rsidRPr="009C734C" w14:paraId="0BA413F4" w14:textId="77777777" w:rsidTr="00763F7A">
        <w:tc>
          <w:tcPr>
            <w:tcW w:w="2792" w:type="dxa"/>
          </w:tcPr>
          <w:p w14:paraId="7A7AC370" w14:textId="274DD89F" w:rsidR="00B26A3A" w:rsidRPr="009C734C" w:rsidRDefault="00C23C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n-ZA"/>
              </w:rPr>
              <w:t xml:space="preserve">Turista Superior 3*Sup </w:t>
            </w:r>
          </w:p>
        </w:tc>
        <w:tc>
          <w:tcPr>
            <w:tcW w:w="2221" w:type="dxa"/>
          </w:tcPr>
          <w:p w14:paraId="52A8A56F" w14:textId="30062F4B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5</w:t>
            </w:r>
            <w:r w:rsidR="009F2C21">
              <w:rPr>
                <w:rFonts w:ascii="Times New Roman" w:hAnsi="Times New Roman" w:cs="Times New Roman"/>
                <w:lang w:val="es-ES"/>
              </w:rPr>
              <w:t>46</w:t>
            </w:r>
          </w:p>
        </w:tc>
        <w:tc>
          <w:tcPr>
            <w:tcW w:w="2501" w:type="dxa"/>
          </w:tcPr>
          <w:p w14:paraId="2ADF7602" w14:textId="62403805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5</w:t>
            </w:r>
            <w:r w:rsidR="009F2C21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2518" w:type="dxa"/>
          </w:tcPr>
          <w:p w14:paraId="59BEE6AB" w14:textId="414F07F9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290</w:t>
            </w:r>
          </w:p>
        </w:tc>
      </w:tr>
      <w:tr w:rsidR="00B26A3A" w:rsidRPr="009C734C" w14:paraId="392DCCC7" w14:textId="77777777" w:rsidTr="00763F7A">
        <w:tc>
          <w:tcPr>
            <w:tcW w:w="2792" w:type="dxa"/>
          </w:tcPr>
          <w:p w14:paraId="309E2559" w14:textId="1B16ADF1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4*</w:t>
            </w:r>
          </w:p>
        </w:tc>
        <w:tc>
          <w:tcPr>
            <w:tcW w:w="2221" w:type="dxa"/>
          </w:tcPr>
          <w:p w14:paraId="3E0B9987" w14:textId="0951937B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5</w:t>
            </w:r>
            <w:r w:rsidR="009F2C21">
              <w:rPr>
                <w:rFonts w:ascii="Times New Roman" w:hAnsi="Times New Roman" w:cs="Times New Roman"/>
                <w:lang w:val="es-ES"/>
              </w:rPr>
              <w:t>73</w:t>
            </w:r>
          </w:p>
        </w:tc>
        <w:tc>
          <w:tcPr>
            <w:tcW w:w="2501" w:type="dxa"/>
          </w:tcPr>
          <w:p w14:paraId="5E0DB3D9" w14:textId="62951EBF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5</w:t>
            </w:r>
            <w:r w:rsidR="009F2C21">
              <w:rPr>
                <w:rFonts w:ascii="Times New Roman" w:hAnsi="Times New Roman" w:cs="Times New Roman"/>
                <w:lang w:val="es-ES"/>
              </w:rPr>
              <w:t>57</w:t>
            </w:r>
          </w:p>
        </w:tc>
        <w:tc>
          <w:tcPr>
            <w:tcW w:w="2518" w:type="dxa"/>
          </w:tcPr>
          <w:p w14:paraId="4EB96393" w14:textId="263BEFD9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3</w:t>
            </w:r>
            <w:r w:rsidR="009F2C21">
              <w:rPr>
                <w:rFonts w:ascii="Times New Roman" w:hAnsi="Times New Roman" w:cs="Times New Roman"/>
                <w:lang w:val="es-ES"/>
              </w:rPr>
              <w:t>17</w:t>
            </w:r>
          </w:p>
        </w:tc>
      </w:tr>
      <w:tr w:rsidR="00B26A3A" w:rsidRPr="009C734C" w14:paraId="6AA0B1DD" w14:textId="77777777" w:rsidTr="00763F7A">
        <w:tc>
          <w:tcPr>
            <w:tcW w:w="2792" w:type="dxa"/>
          </w:tcPr>
          <w:p w14:paraId="2D15C7FC" w14:textId="501BA59B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Superior 4*</w:t>
            </w:r>
            <w:proofErr w:type="spellStart"/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</w:t>
            </w:r>
            <w:proofErr w:type="spellEnd"/>
          </w:p>
        </w:tc>
        <w:tc>
          <w:tcPr>
            <w:tcW w:w="2221" w:type="dxa"/>
          </w:tcPr>
          <w:p w14:paraId="37A5D248" w14:textId="35CF1657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6</w:t>
            </w:r>
            <w:r w:rsidR="009F2C21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2501" w:type="dxa"/>
          </w:tcPr>
          <w:p w14:paraId="6F80F5C9" w14:textId="327258D1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6</w:t>
            </w:r>
            <w:r w:rsidR="009F2C21">
              <w:rPr>
                <w:rFonts w:ascii="Times New Roman" w:hAnsi="Times New Roman" w:cs="Times New Roman"/>
                <w:lang w:val="es-ES"/>
              </w:rPr>
              <w:t>04</w:t>
            </w:r>
          </w:p>
        </w:tc>
        <w:tc>
          <w:tcPr>
            <w:tcW w:w="2518" w:type="dxa"/>
          </w:tcPr>
          <w:p w14:paraId="416213DC" w14:textId="3DB34CD3" w:rsidR="00B26A3A" w:rsidRPr="009C734C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3</w:t>
            </w:r>
            <w:r w:rsidR="009F2C21">
              <w:rPr>
                <w:rFonts w:ascii="Times New Roman" w:hAnsi="Times New Roman" w:cs="Times New Roman"/>
                <w:lang w:val="es-ES"/>
              </w:rPr>
              <w:t>77</w:t>
            </w:r>
          </w:p>
        </w:tc>
      </w:tr>
      <w:tr w:rsidR="005E2377" w:rsidRPr="009C734C" w14:paraId="35BC489D" w14:textId="77777777" w:rsidTr="00763F7A">
        <w:tc>
          <w:tcPr>
            <w:tcW w:w="2792" w:type="dxa"/>
          </w:tcPr>
          <w:p w14:paraId="6B1EC935" w14:textId="475035B8" w:rsidR="005E2377" w:rsidRPr="009C734C" w:rsidRDefault="005E23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Lujo 5*</w:t>
            </w:r>
          </w:p>
        </w:tc>
        <w:tc>
          <w:tcPr>
            <w:tcW w:w="2221" w:type="dxa"/>
          </w:tcPr>
          <w:p w14:paraId="1719D6FD" w14:textId="19938E07" w:rsidR="005E2377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7</w:t>
            </w:r>
            <w:r w:rsidR="009F2C21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2501" w:type="dxa"/>
          </w:tcPr>
          <w:p w14:paraId="55596E91" w14:textId="06CD05DF" w:rsidR="005E2377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698</w:t>
            </w:r>
          </w:p>
        </w:tc>
        <w:tc>
          <w:tcPr>
            <w:tcW w:w="2518" w:type="dxa"/>
          </w:tcPr>
          <w:p w14:paraId="62F39587" w14:textId="717BE121" w:rsidR="005E2377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44</w:t>
            </w:r>
            <w:r w:rsidR="009F2C21">
              <w:rPr>
                <w:rFonts w:ascii="Times New Roman" w:hAnsi="Times New Roman" w:cs="Times New Roman"/>
                <w:lang w:val="es-ES"/>
              </w:rPr>
              <w:t>5</w:t>
            </w:r>
          </w:p>
        </w:tc>
      </w:tr>
      <w:tr w:rsidR="005E2377" w:rsidRPr="009C734C" w14:paraId="1E433F53" w14:textId="77777777" w:rsidTr="00763F7A">
        <w:tc>
          <w:tcPr>
            <w:tcW w:w="2792" w:type="dxa"/>
          </w:tcPr>
          <w:p w14:paraId="05B590C6" w14:textId="48DD5590" w:rsidR="005E2377" w:rsidRDefault="005E23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Lujo Plus 5*</w:t>
            </w:r>
          </w:p>
        </w:tc>
        <w:tc>
          <w:tcPr>
            <w:tcW w:w="2221" w:type="dxa"/>
          </w:tcPr>
          <w:p w14:paraId="217FB1E1" w14:textId="1F3AC148" w:rsidR="005E2377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9F2C21">
              <w:rPr>
                <w:rFonts w:ascii="Times New Roman" w:hAnsi="Times New Roman" w:cs="Times New Roman"/>
                <w:lang w:val="es-ES"/>
              </w:rPr>
              <w:t>889</w:t>
            </w:r>
          </w:p>
        </w:tc>
        <w:tc>
          <w:tcPr>
            <w:tcW w:w="2501" w:type="dxa"/>
          </w:tcPr>
          <w:p w14:paraId="3AD7D630" w14:textId="5D41534A" w:rsidR="005E2377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8</w:t>
            </w:r>
            <w:r w:rsidR="009F2C21">
              <w:rPr>
                <w:rFonts w:ascii="Times New Roman" w:hAnsi="Times New Roman" w:cs="Times New Roman"/>
                <w:lang w:val="es-ES"/>
              </w:rPr>
              <w:t>73</w:t>
            </w:r>
          </w:p>
        </w:tc>
        <w:tc>
          <w:tcPr>
            <w:tcW w:w="2518" w:type="dxa"/>
          </w:tcPr>
          <w:p w14:paraId="0540B3ED" w14:textId="3B59C666" w:rsidR="005E2377" w:rsidRDefault="00813ADD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A5179">
              <w:rPr>
                <w:rFonts w:ascii="Times New Roman" w:hAnsi="Times New Roman" w:cs="Times New Roman"/>
                <w:lang w:val="es-ES"/>
              </w:rPr>
              <w:t>6</w:t>
            </w:r>
            <w:r w:rsidR="009F2C21">
              <w:rPr>
                <w:rFonts w:ascii="Times New Roman" w:hAnsi="Times New Roman" w:cs="Times New Roman"/>
                <w:lang w:val="es-ES"/>
              </w:rPr>
              <w:t>20</w:t>
            </w:r>
          </w:p>
        </w:tc>
      </w:tr>
    </w:tbl>
    <w:p w14:paraId="21434A8F" w14:textId="5294963D" w:rsidR="00B26A3A" w:rsidRPr="009C734C" w:rsidRDefault="00846852" w:rsidP="009F2C21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Precios por persona</w:t>
      </w:r>
      <w:r w:rsidR="009F2C21">
        <w:rPr>
          <w:rFonts w:ascii="Times New Roman" w:hAnsi="Times New Roman" w:cs="Times New Roman"/>
          <w:b/>
          <w:bCs/>
          <w:lang w:val="es-ES"/>
        </w:rPr>
        <w:t xml:space="preserve">. </w:t>
      </w:r>
      <w:r w:rsidR="009F2C21">
        <w:rPr>
          <w:rFonts w:ascii="Times New Roman" w:hAnsi="Times New Roman" w:cs="Times New Roman"/>
          <w:b/>
          <w:bCs/>
          <w:lang w:val="es-ES"/>
        </w:rPr>
        <w:t>Aplica suplemento para temporada alta (ver fechas en notas importantes)</w:t>
      </w:r>
    </w:p>
    <w:p w14:paraId="18E2C760" w14:textId="77777777" w:rsidR="007F6F7D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BAF8E86" w14:textId="505C9ACC" w:rsidR="007F6F7D" w:rsidRDefault="007F6394" w:rsidP="00B26A3A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 w:rsidRPr="007F6394">
        <w:rPr>
          <w:rFonts w:ascii="Times New Roman" w:hAnsi="Times New Roman" w:cs="Times New Roman"/>
          <w:lang w:val="es-ES"/>
        </w:rPr>
        <w:t>:</w:t>
      </w:r>
    </w:p>
    <w:p w14:paraId="5D6C6605" w14:textId="7F627ADF" w:rsidR="007F6394" w:rsidRPr="00A97C8A" w:rsidRDefault="007F639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Alojamiento en los Hoteles indicados o similares en la categoría elegida </w:t>
      </w:r>
    </w:p>
    <w:p w14:paraId="4CB47F0C" w14:textId="42B688E8" w:rsidR="000025F9" w:rsidRP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3 </w:t>
      </w:r>
      <w:r>
        <w:rPr>
          <w:rFonts w:ascii="Times New Roman" w:hAnsi="Times New Roman" w:cs="Times New Roman"/>
          <w:lang w:val="es-ES"/>
        </w:rPr>
        <w:t>n</w:t>
      </w:r>
      <w:r w:rsidRPr="000025F9">
        <w:rPr>
          <w:rFonts w:ascii="Times New Roman" w:hAnsi="Times New Roman" w:cs="Times New Roman"/>
          <w:lang w:val="es-ES"/>
        </w:rPr>
        <w:t xml:space="preserve">oches de alojamiento en </w:t>
      </w:r>
      <w:r>
        <w:rPr>
          <w:rFonts w:ascii="Times New Roman" w:hAnsi="Times New Roman" w:cs="Times New Roman"/>
          <w:lang w:val="es-ES"/>
        </w:rPr>
        <w:t xml:space="preserve">Dubái </w:t>
      </w:r>
    </w:p>
    <w:p w14:paraId="74A17D10" w14:textId="6FAEF8A1" w:rsid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2 </w:t>
      </w:r>
      <w:r>
        <w:rPr>
          <w:rFonts w:ascii="Times New Roman" w:hAnsi="Times New Roman" w:cs="Times New Roman"/>
          <w:lang w:val="es-ES"/>
        </w:rPr>
        <w:t>n</w:t>
      </w:r>
      <w:r w:rsidRPr="000025F9">
        <w:rPr>
          <w:rFonts w:ascii="Times New Roman" w:hAnsi="Times New Roman" w:cs="Times New Roman"/>
          <w:lang w:val="es-ES"/>
        </w:rPr>
        <w:t xml:space="preserve">oches de alojamiento en Abu </w:t>
      </w:r>
      <w:proofErr w:type="spellStart"/>
      <w:r w:rsidRPr="000025F9">
        <w:rPr>
          <w:rFonts w:ascii="Times New Roman" w:hAnsi="Times New Roman" w:cs="Times New Roman"/>
          <w:lang w:val="es-ES"/>
        </w:rPr>
        <w:t>Dhabi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</w:p>
    <w:p w14:paraId="02815F37" w14:textId="7660A4DC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Desayuno buffet durante la estancia </w:t>
      </w:r>
    </w:p>
    <w:p w14:paraId="01C0828C" w14:textId="437FCA19" w:rsid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Recepción por </w:t>
      </w:r>
      <w:r w:rsidR="00AF1756">
        <w:rPr>
          <w:rFonts w:ascii="Times New Roman" w:hAnsi="Times New Roman" w:cs="Times New Roman"/>
          <w:lang w:val="es-ES"/>
        </w:rPr>
        <w:t>n</w:t>
      </w:r>
      <w:r w:rsidRPr="000025F9">
        <w:rPr>
          <w:rFonts w:ascii="Times New Roman" w:hAnsi="Times New Roman" w:cs="Times New Roman"/>
          <w:lang w:val="es-ES"/>
        </w:rPr>
        <w:t>uestro representante de habla hispana en la</w:t>
      </w:r>
      <w:r>
        <w:rPr>
          <w:rFonts w:ascii="Times New Roman" w:hAnsi="Times New Roman" w:cs="Times New Roman"/>
          <w:lang w:val="es-ES"/>
        </w:rPr>
        <w:t xml:space="preserve"> </w:t>
      </w:r>
      <w:r w:rsidRPr="000025F9">
        <w:rPr>
          <w:rFonts w:ascii="Times New Roman" w:hAnsi="Times New Roman" w:cs="Times New Roman"/>
          <w:lang w:val="es-ES"/>
        </w:rPr>
        <w:t>llegada</w:t>
      </w:r>
    </w:p>
    <w:p w14:paraId="48BD52DC" w14:textId="6E471456" w:rsidR="00AF1756" w:rsidRDefault="00AF1756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Guía de habla hispana durante las visitas </w:t>
      </w:r>
    </w:p>
    <w:p w14:paraId="15299344" w14:textId="30A16217" w:rsidR="000025F9" w:rsidRP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Medio día de visita </w:t>
      </w:r>
      <w:r w:rsidR="00AF1756" w:rsidRPr="000025F9">
        <w:rPr>
          <w:rFonts w:ascii="Times New Roman" w:hAnsi="Times New Roman" w:cs="Times New Roman"/>
          <w:lang w:val="es-ES"/>
        </w:rPr>
        <w:t>Dubái</w:t>
      </w:r>
      <w:r w:rsidRPr="000025F9">
        <w:rPr>
          <w:rFonts w:ascii="Times New Roman" w:hAnsi="Times New Roman" w:cs="Times New Roman"/>
          <w:lang w:val="es-ES"/>
        </w:rPr>
        <w:t xml:space="preserve"> en regular </w:t>
      </w:r>
    </w:p>
    <w:p w14:paraId="55E36450" w14:textId="07DA6638" w:rsidR="000025F9" w:rsidRPr="00AF1756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F1756">
        <w:rPr>
          <w:rFonts w:ascii="Times New Roman" w:hAnsi="Times New Roman" w:cs="Times New Roman"/>
          <w:lang w:val="es-ES"/>
        </w:rPr>
        <w:t xml:space="preserve">Día Completo de visita </w:t>
      </w:r>
      <w:proofErr w:type="spellStart"/>
      <w:r w:rsidRPr="00AF1756">
        <w:rPr>
          <w:rFonts w:ascii="Times New Roman" w:hAnsi="Times New Roman" w:cs="Times New Roman"/>
          <w:lang w:val="es-ES"/>
        </w:rPr>
        <w:t>abu</w:t>
      </w:r>
      <w:proofErr w:type="spellEnd"/>
      <w:r w:rsidRPr="00AF17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F1756">
        <w:rPr>
          <w:rFonts w:ascii="Times New Roman" w:hAnsi="Times New Roman" w:cs="Times New Roman"/>
          <w:lang w:val="es-ES"/>
        </w:rPr>
        <w:t>Dhabi</w:t>
      </w:r>
      <w:proofErr w:type="spellEnd"/>
      <w:r w:rsidRPr="00AF1756">
        <w:rPr>
          <w:rFonts w:ascii="Times New Roman" w:hAnsi="Times New Roman" w:cs="Times New Roman"/>
          <w:lang w:val="es-ES"/>
        </w:rPr>
        <w:t xml:space="preserve"> en regular </w:t>
      </w:r>
    </w:p>
    <w:p w14:paraId="547601BD" w14:textId="4462EDD6" w:rsidR="000025F9" w:rsidRP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>Safari en 4x4 con Cena BBQ con conductor de habla ingles</w:t>
      </w:r>
    </w:p>
    <w:p w14:paraId="6260BE80" w14:textId="0A1C7BA8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Traslados Aeropuerto / Hotel / Aeropuerto en auto con aire acondicionado</w:t>
      </w:r>
    </w:p>
    <w:p w14:paraId="7841412E" w14:textId="77777777" w:rsidR="000F7DA4" w:rsidRDefault="000F7DA4" w:rsidP="008138F3">
      <w:pPr>
        <w:jc w:val="both"/>
        <w:rPr>
          <w:rFonts w:ascii="Times New Roman" w:hAnsi="Times New Roman" w:cs="Times New Roman"/>
          <w:lang w:val="es-ES"/>
        </w:rPr>
      </w:pPr>
    </w:p>
    <w:p w14:paraId="7CB15D5E" w14:textId="69726BFD" w:rsidR="000F7DA4" w:rsidRPr="00A97C8A" w:rsidRDefault="000F7DA4" w:rsidP="008138F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97C8A">
        <w:rPr>
          <w:rFonts w:ascii="Times New Roman" w:hAnsi="Times New Roman" w:cs="Times New Roman"/>
          <w:b/>
          <w:bCs/>
          <w:lang w:val="es-ES"/>
        </w:rPr>
        <w:t>NO INCLUYEN:</w:t>
      </w:r>
    </w:p>
    <w:p w14:paraId="6C62C38F" w14:textId="1F985D1C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2% fee bancario </w:t>
      </w:r>
    </w:p>
    <w:p w14:paraId="25790F77" w14:textId="07EF9037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Tiquetes aéreos</w:t>
      </w:r>
    </w:p>
    <w:p w14:paraId="15E7F72E" w14:textId="1216AE8F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Tasas aeroportuarias </w:t>
      </w:r>
    </w:p>
    <w:p w14:paraId="1FA6C655" w14:textId="40E37F98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4A29B3BA" w14:textId="2EC03B11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F66BA7C" w14:textId="13318742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Excursiones y/o visitas opcionales</w:t>
      </w:r>
    </w:p>
    <w:p w14:paraId="230D1D5C" w14:textId="2B2AECB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492C2511" w14:textId="0DA2FB8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60C60EF9" w14:textId="4914FBDA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Propinas a conductores, maleteros y guías</w:t>
      </w:r>
    </w:p>
    <w:p w14:paraId="69E93DE0" w14:textId="61C41BEE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Servicios no especificados y gastos personales</w:t>
      </w:r>
    </w:p>
    <w:p w14:paraId="7C331D32" w14:textId="6620F27D" w:rsidR="00A97C8A" w:rsidRDefault="00A97C8A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Dirham fee, se debe abonar al momento de realizar el </w:t>
      </w:r>
      <w:proofErr w:type="spellStart"/>
      <w:r w:rsidRPr="00A97C8A">
        <w:rPr>
          <w:rFonts w:ascii="Times New Roman" w:hAnsi="Times New Roman" w:cs="Times New Roman"/>
          <w:lang w:val="es-ES"/>
        </w:rPr>
        <w:t>Check</w:t>
      </w:r>
      <w:proofErr w:type="spellEnd"/>
      <w:r w:rsidRPr="00A97C8A">
        <w:rPr>
          <w:rFonts w:ascii="Times New Roman" w:hAnsi="Times New Roman" w:cs="Times New Roman"/>
          <w:lang w:val="es-ES"/>
        </w:rPr>
        <w:t xml:space="preserve"> In. </w:t>
      </w:r>
    </w:p>
    <w:p w14:paraId="7AA24680" w14:textId="77777777" w:rsidR="00475F1B" w:rsidRPr="008138F3" w:rsidRDefault="00475F1B" w:rsidP="008138F3">
      <w:pPr>
        <w:jc w:val="both"/>
        <w:rPr>
          <w:rFonts w:ascii="Times New Roman" w:hAnsi="Times New Roman" w:cs="Times New Roman"/>
          <w:lang w:val="es-ES"/>
        </w:rPr>
      </w:pPr>
    </w:p>
    <w:p w14:paraId="271CC52F" w14:textId="42053969" w:rsidR="00A97C8A" w:rsidRPr="000D15E9" w:rsidRDefault="00A97C8A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D15E9">
        <w:rPr>
          <w:rFonts w:ascii="Times New Roman" w:hAnsi="Times New Roman" w:cs="Times New Roman"/>
          <w:b/>
          <w:bCs/>
        </w:rPr>
        <w:t>NOTA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 xml:space="preserve"> IMPORTANTE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>:</w:t>
      </w:r>
    </w:p>
    <w:p w14:paraId="15C5613C" w14:textId="77777777" w:rsidR="00A97C8A" w:rsidRDefault="00A97C8A" w:rsidP="00A97C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orden de las visitas está sujeto sus días de operación. </w:t>
      </w:r>
    </w:p>
    <w:p w14:paraId="0FC39135" w14:textId="4FDA7B05" w:rsidR="00A97C8A" w:rsidRPr="000D15E9" w:rsidRDefault="004224AF" w:rsidP="00A97C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3ACB">
        <w:rPr>
          <w:rFonts w:ascii="Times New Roman" w:hAnsi="Times New Roman" w:cs="Times New Roman"/>
        </w:rPr>
        <w:t xml:space="preserve">Consultar suplemento para las siguientes fechas por temporada alta: </w:t>
      </w:r>
      <w:r w:rsidRPr="00F83ACB">
        <w:rPr>
          <w:rFonts w:ascii="Times New Roman" w:hAnsi="Times New Roman" w:cs="Times New Roman"/>
          <w:lang w:val="es-CO"/>
        </w:rPr>
        <w:t>Del 13 al 17 de Oct de 2025 // Del 24 al 28 de Nov de 2025 // Del 26 de Dic de 2025</w:t>
      </w:r>
      <w:r w:rsidRPr="00F83ACB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F83ACB">
        <w:rPr>
          <w:rFonts w:ascii="Times New Roman" w:hAnsi="Times New Roman" w:cs="Times New Roman"/>
          <w:lang w:val="es-CO"/>
        </w:rPr>
        <w:t>al 05 de Ene de 2026 (</w:t>
      </w:r>
      <w:r w:rsidRPr="00F83ACB">
        <w:rPr>
          <w:rFonts w:ascii="Times New Roman" w:hAnsi="Times New Roman" w:cs="Times New Roman"/>
          <w:i/>
          <w:iCs/>
          <w:lang w:val="es-CO"/>
        </w:rPr>
        <w:t>Temporada de fin de año</w:t>
      </w:r>
      <w:r w:rsidRPr="00F83ACB">
        <w:rPr>
          <w:rFonts w:ascii="Times New Roman" w:hAnsi="Times New Roman" w:cs="Times New Roman"/>
          <w:lang w:val="es-CO"/>
        </w:rPr>
        <w:t>) // Del 25 al 31 de Ene de 2.026 // Del 08 al 13 de Feb de 2026 // Del 20 al 26 de Mar de 2026</w:t>
      </w:r>
      <w:r>
        <w:rPr>
          <w:rFonts w:ascii="Times New Roman" w:hAnsi="Times New Roman" w:cs="Times New Roman"/>
          <w:lang w:val="es-CO"/>
        </w:rPr>
        <w:t>.</w:t>
      </w:r>
      <w:r w:rsidR="00A97C8A">
        <w:rPr>
          <w:rFonts w:ascii="Times New Roman" w:hAnsi="Times New Roman" w:cs="Times New Roman"/>
        </w:rPr>
        <w:t xml:space="preserve"> </w:t>
      </w:r>
    </w:p>
    <w:p w14:paraId="6B5ADF56" w14:textId="77777777" w:rsidR="00F25906" w:rsidRDefault="00F25906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A084F92" w14:textId="3596ECC2" w:rsidR="007F6F7D" w:rsidRPr="009C734C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1AEA682F" w14:textId="77777777" w:rsidR="007707D4" w:rsidRPr="009C734C" w:rsidRDefault="007707D4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655"/>
        <w:gridCol w:w="1276"/>
        <w:gridCol w:w="1423"/>
        <w:gridCol w:w="1526"/>
        <w:gridCol w:w="2164"/>
      </w:tblGrid>
      <w:tr w:rsidR="00186014" w:rsidRPr="009C734C" w14:paraId="12FC433A" w14:textId="77777777" w:rsidTr="00104D27">
        <w:trPr>
          <w:jc w:val="center"/>
        </w:trPr>
        <w:tc>
          <w:tcPr>
            <w:tcW w:w="988" w:type="dxa"/>
            <w:vAlign w:val="center"/>
          </w:tcPr>
          <w:p w14:paraId="427B20C8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2655" w:type="dxa"/>
            <w:vAlign w:val="center"/>
          </w:tcPr>
          <w:p w14:paraId="08A5805C" w14:textId="64650673" w:rsidR="00186014" w:rsidRPr="009C734C" w:rsidRDefault="00186014" w:rsidP="0018601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Turista Superior</w:t>
            </w:r>
          </w:p>
        </w:tc>
        <w:tc>
          <w:tcPr>
            <w:tcW w:w="1276" w:type="dxa"/>
            <w:vAlign w:val="center"/>
          </w:tcPr>
          <w:p w14:paraId="503A0BE2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</w:t>
            </w:r>
          </w:p>
        </w:tc>
        <w:tc>
          <w:tcPr>
            <w:tcW w:w="1423" w:type="dxa"/>
            <w:vAlign w:val="center"/>
          </w:tcPr>
          <w:p w14:paraId="5DE6BB5C" w14:textId="77777777" w:rsidR="00186014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Primera </w:t>
            </w:r>
          </w:p>
          <w:p w14:paraId="77AEA597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Superior</w:t>
            </w:r>
          </w:p>
        </w:tc>
        <w:tc>
          <w:tcPr>
            <w:tcW w:w="1526" w:type="dxa"/>
            <w:vAlign w:val="center"/>
          </w:tcPr>
          <w:p w14:paraId="021384A6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</w:t>
            </w:r>
          </w:p>
        </w:tc>
        <w:tc>
          <w:tcPr>
            <w:tcW w:w="2164" w:type="dxa"/>
            <w:vAlign w:val="center"/>
          </w:tcPr>
          <w:p w14:paraId="41D49245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 plus</w:t>
            </w:r>
          </w:p>
        </w:tc>
      </w:tr>
      <w:tr w:rsidR="00186014" w:rsidRPr="009C734C" w14:paraId="1D05DDE7" w14:textId="77777777" w:rsidTr="00104D27">
        <w:trPr>
          <w:jc w:val="center"/>
        </w:trPr>
        <w:tc>
          <w:tcPr>
            <w:tcW w:w="988" w:type="dxa"/>
            <w:vAlign w:val="center"/>
          </w:tcPr>
          <w:p w14:paraId="72ABD099" w14:textId="77777777" w:rsidR="00186014" w:rsidRPr="009C734C" w:rsidRDefault="00186014" w:rsidP="001941C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Dubái</w:t>
            </w:r>
          </w:p>
        </w:tc>
        <w:tc>
          <w:tcPr>
            <w:tcW w:w="2655" w:type="dxa"/>
            <w:vAlign w:val="center"/>
          </w:tcPr>
          <w:p w14:paraId="446E7731" w14:textId="77777777" w:rsidR="00186014" w:rsidRPr="009C734C" w:rsidRDefault="00186014" w:rsidP="001941C7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9C734C">
              <w:rPr>
                <w:rFonts w:ascii="Times New Roman" w:hAnsi="Times New Roman" w:cs="Times New Roman"/>
                <w:lang w:val="en-ZA"/>
              </w:rPr>
              <w:t>Sign</w:t>
            </w:r>
            <w:r>
              <w:rPr>
                <w:rFonts w:ascii="Times New Roman" w:hAnsi="Times New Roman" w:cs="Times New Roman"/>
                <w:lang w:val="en-ZA"/>
              </w:rPr>
              <w:t>a</w:t>
            </w:r>
            <w:r w:rsidRPr="009C734C">
              <w:rPr>
                <w:rFonts w:ascii="Times New Roman" w:hAnsi="Times New Roman" w:cs="Times New Roman"/>
                <w:lang w:val="en-ZA"/>
              </w:rPr>
              <w:t>ture 1</w:t>
            </w:r>
          </w:p>
          <w:p w14:paraId="5CDF6525" w14:textId="52CE41FC" w:rsidR="00186014" w:rsidRPr="009C734C" w:rsidRDefault="00186014" w:rsidP="001941C7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9C734C">
              <w:rPr>
                <w:rFonts w:ascii="Times New Roman" w:hAnsi="Times New Roman" w:cs="Times New Roman"/>
                <w:lang w:val="en-ZA"/>
              </w:rPr>
              <w:t>Signature Barsha</w:t>
            </w:r>
            <w:r w:rsidR="00104D27">
              <w:rPr>
                <w:rFonts w:ascii="Times New Roman" w:hAnsi="Times New Roman" w:cs="Times New Roman"/>
                <w:lang w:val="en-ZA"/>
              </w:rPr>
              <w:t xml:space="preserve"> </w:t>
            </w:r>
            <w:r w:rsidRPr="009C734C">
              <w:rPr>
                <w:rFonts w:ascii="Times New Roman" w:hAnsi="Times New Roman" w:cs="Times New Roman"/>
                <w:lang w:val="en-ZA"/>
              </w:rPr>
              <w:t>Heights</w:t>
            </w:r>
          </w:p>
          <w:p w14:paraId="01382E30" w14:textId="77777777" w:rsidR="00186014" w:rsidRPr="00513FDB" w:rsidRDefault="00186014" w:rsidP="001941C7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513FDB">
              <w:rPr>
                <w:rFonts w:ascii="Times New Roman" w:hAnsi="Times New Roman" w:cs="Times New Roman"/>
                <w:lang w:val="en-ZA"/>
              </w:rPr>
              <w:t>Donatello al Barsha</w:t>
            </w:r>
          </w:p>
          <w:p w14:paraId="63509092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 xml:space="preserve">Time Asma al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Barsha</w:t>
            </w:r>
            <w:proofErr w:type="spellEnd"/>
          </w:p>
        </w:tc>
        <w:tc>
          <w:tcPr>
            <w:tcW w:w="1276" w:type="dxa"/>
            <w:vAlign w:val="center"/>
          </w:tcPr>
          <w:p w14:paraId="65428849" w14:textId="77777777" w:rsidR="00186014" w:rsidRDefault="00186014" w:rsidP="001941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Alkhoory</w:t>
            </w:r>
            <w:proofErr w:type="spellEnd"/>
            <w:r w:rsidRPr="009C734C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14:paraId="24C72688" w14:textId="35E31FAA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Atruim</w:t>
            </w:r>
            <w:proofErr w:type="spellEnd"/>
          </w:p>
        </w:tc>
        <w:tc>
          <w:tcPr>
            <w:tcW w:w="1423" w:type="dxa"/>
            <w:vAlign w:val="center"/>
          </w:tcPr>
          <w:p w14:paraId="071DE728" w14:textId="77777777" w:rsidR="00186014" w:rsidRPr="009C734C" w:rsidRDefault="00186014" w:rsidP="001941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>Asiana</w:t>
            </w:r>
          </w:p>
          <w:p w14:paraId="2139A267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Avani</w:t>
            </w:r>
            <w:proofErr w:type="spellEnd"/>
          </w:p>
        </w:tc>
        <w:tc>
          <w:tcPr>
            <w:tcW w:w="1526" w:type="dxa"/>
            <w:vAlign w:val="center"/>
          </w:tcPr>
          <w:p w14:paraId="3B181E16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Media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Rotana</w:t>
            </w:r>
            <w:proofErr w:type="spellEnd"/>
          </w:p>
        </w:tc>
        <w:tc>
          <w:tcPr>
            <w:tcW w:w="2164" w:type="dxa"/>
            <w:vAlign w:val="center"/>
          </w:tcPr>
          <w:p w14:paraId="27471593" w14:textId="77777777" w:rsidR="00186014" w:rsidRPr="009C734C" w:rsidRDefault="00186014" w:rsidP="001941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 xml:space="preserve">Paramount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Dubai</w:t>
            </w:r>
            <w:proofErr w:type="spellEnd"/>
          </w:p>
          <w:p w14:paraId="6D136B3C" w14:textId="77777777" w:rsidR="00186014" w:rsidRPr="009C734C" w:rsidRDefault="00186014" w:rsidP="001941C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>Paramount Midtown</w:t>
            </w:r>
          </w:p>
        </w:tc>
      </w:tr>
    </w:tbl>
    <w:p w14:paraId="2A3E4AE9" w14:textId="77777777" w:rsidR="007707D4" w:rsidRPr="009C734C" w:rsidRDefault="007707D4" w:rsidP="009F2C21">
      <w:pPr>
        <w:jc w:val="both"/>
        <w:rPr>
          <w:rFonts w:ascii="Times New Roman" w:hAnsi="Times New Roman" w:cs="Times New Roman"/>
          <w:b/>
          <w:bCs/>
          <w:lang w:val="es-ES"/>
        </w:rPr>
      </w:pPr>
    </w:p>
    <w:sectPr w:rsidR="007707D4" w:rsidRPr="009C734C" w:rsidSect="00C52C3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695"/>
    <w:multiLevelType w:val="hybridMultilevel"/>
    <w:tmpl w:val="43DCD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71A01"/>
    <w:multiLevelType w:val="hybridMultilevel"/>
    <w:tmpl w:val="BCCA41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16652">
    <w:abstractNumId w:val="1"/>
  </w:num>
  <w:num w:numId="2" w16cid:durableId="20896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D"/>
    <w:rsid w:val="000022D8"/>
    <w:rsid w:val="000025F9"/>
    <w:rsid w:val="00006996"/>
    <w:rsid w:val="00022EB5"/>
    <w:rsid w:val="00064D58"/>
    <w:rsid w:val="000D263D"/>
    <w:rsid w:val="000D50D8"/>
    <w:rsid w:val="000F7DA4"/>
    <w:rsid w:val="0010006F"/>
    <w:rsid w:val="00104D27"/>
    <w:rsid w:val="00126104"/>
    <w:rsid w:val="00186014"/>
    <w:rsid w:val="002105D5"/>
    <w:rsid w:val="00271327"/>
    <w:rsid w:val="00275C45"/>
    <w:rsid w:val="002A1566"/>
    <w:rsid w:val="002D17C1"/>
    <w:rsid w:val="002E4198"/>
    <w:rsid w:val="00322AA1"/>
    <w:rsid w:val="003F506D"/>
    <w:rsid w:val="004224AF"/>
    <w:rsid w:val="00425C18"/>
    <w:rsid w:val="004631EB"/>
    <w:rsid w:val="00475F1B"/>
    <w:rsid w:val="004B3CF4"/>
    <w:rsid w:val="00513FDB"/>
    <w:rsid w:val="0051549A"/>
    <w:rsid w:val="00530B9F"/>
    <w:rsid w:val="00534059"/>
    <w:rsid w:val="00592F5A"/>
    <w:rsid w:val="005A5475"/>
    <w:rsid w:val="005B6EF8"/>
    <w:rsid w:val="005E2377"/>
    <w:rsid w:val="005F7A5F"/>
    <w:rsid w:val="0065044A"/>
    <w:rsid w:val="006E6EFB"/>
    <w:rsid w:val="00763F7A"/>
    <w:rsid w:val="007707D4"/>
    <w:rsid w:val="00784514"/>
    <w:rsid w:val="007B68BF"/>
    <w:rsid w:val="007F6394"/>
    <w:rsid w:val="007F6F7D"/>
    <w:rsid w:val="008138F3"/>
    <w:rsid w:val="00813ADD"/>
    <w:rsid w:val="00846852"/>
    <w:rsid w:val="008756C6"/>
    <w:rsid w:val="008E07D3"/>
    <w:rsid w:val="008E5C3D"/>
    <w:rsid w:val="0090689B"/>
    <w:rsid w:val="00917919"/>
    <w:rsid w:val="009345D7"/>
    <w:rsid w:val="00945E77"/>
    <w:rsid w:val="0095507F"/>
    <w:rsid w:val="009735AA"/>
    <w:rsid w:val="009C3E2D"/>
    <w:rsid w:val="009C734C"/>
    <w:rsid w:val="009F2C21"/>
    <w:rsid w:val="00A46E38"/>
    <w:rsid w:val="00A87F04"/>
    <w:rsid w:val="00A94C98"/>
    <w:rsid w:val="00A97C8A"/>
    <w:rsid w:val="00AA36C6"/>
    <w:rsid w:val="00AC48E0"/>
    <w:rsid w:val="00AE64FA"/>
    <w:rsid w:val="00AF1756"/>
    <w:rsid w:val="00AF4963"/>
    <w:rsid w:val="00B1570C"/>
    <w:rsid w:val="00B20455"/>
    <w:rsid w:val="00B205A8"/>
    <w:rsid w:val="00B26A3A"/>
    <w:rsid w:val="00B47534"/>
    <w:rsid w:val="00B70732"/>
    <w:rsid w:val="00BC26DE"/>
    <w:rsid w:val="00C1738C"/>
    <w:rsid w:val="00C23C77"/>
    <w:rsid w:val="00C44F37"/>
    <w:rsid w:val="00C4509D"/>
    <w:rsid w:val="00C52C39"/>
    <w:rsid w:val="00C72318"/>
    <w:rsid w:val="00C93938"/>
    <w:rsid w:val="00CA4609"/>
    <w:rsid w:val="00CA5179"/>
    <w:rsid w:val="00CC575C"/>
    <w:rsid w:val="00CE2CAB"/>
    <w:rsid w:val="00D64BAA"/>
    <w:rsid w:val="00DB54DA"/>
    <w:rsid w:val="00DD46CE"/>
    <w:rsid w:val="00DE7735"/>
    <w:rsid w:val="00E00D29"/>
    <w:rsid w:val="00EE123D"/>
    <w:rsid w:val="00F25906"/>
    <w:rsid w:val="00F262BB"/>
    <w:rsid w:val="00F26446"/>
    <w:rsid w:val="00F7427F"/>
    <w:rsid w:val="00FC3209"/>
    <w:rsid w:val="00FD0B17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BFE2"/>
  <w15:chartTrackingRefBased/>
  <w15:docId w15:val="{167D7253-BE89-4F97-9FD5-74D3048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C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E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E2D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E2D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E2D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E2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E2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E2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E2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C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E2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E2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C3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E2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C3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E2D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C3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6A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Sub Direccion Giratur SAS</cp:lastModifiedBy>
  <cp:revision>2</cp:revision>
  <dcterms:created xsi:type="dcterms:W3CDTF">2025-09-08T15:17:00Z</dcterms:created>
  <dcterms:modified xsi:type="dcterms:W3CDTF">2025-09-08T15:17:00Z</dcterms:modified>
</cp:coreProperties>
</file>