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AEE0" w14:textId="70AF8460" w:rsidR="0008067A" w:rsidRPr="00226782" w:rsidRDefault="00964185" w:rsidP="00226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SANTA MARTA</w:t>
      </w:r>
    </w:p>
    <w:p w14:paraId="2DF90CF4" w14:textId="07001A8E" w:rsidR="00803F83" w:rsidRDefault="005630DC" w:rsidP="005630DC">
      <w:pPr>
        <w:jc w:val="center"/>
        <w:rPr>
          <w:b/>
          <w:bCs/>
        </w:rPr>
      </w:pPr>
      <w:r>
        <w:rPr>
          <w:b/>
          <w:bCs/>
        </w:rPr>
        <w:t>3</w:t>
      </w:r>
      <w:r w:rsidR="00803F83" w:rsidRPr="00226782">
        <w:rPr>
          <w:b/>
          <w:bCs/>
        </w:rPr>
        <w:t xml:space="preserve"> </w:t>
      </w:r>
      <w:proofErr w:type="gramStart"/>
      <w:r w:rsidR="00803F83" w:rsidRPr="00226782">
        <w:rPr>
          <w:b/>
          <w:bCs/>
        </w:rPr>
        <w:t>Noches</w:t>
      </w:r>
      <w:proofErr w:type="gramEnd"/>
      <w:r w:rsidR="00803F83" w:rsidRPr="00226782">
        <w:rPr>
          <w:b/>
          <w:bCs/>
        </w:rPr>
        <w:t xml:space="preserve"> / </w:t>
      </w:r>
      <w:r>
        <w:rPr>
          <w:b/>
          <w:bCs/>
        </w:rPr>
        <w:t>4</w:t>
      </w:r>
      <w:r w:rsidR="00803F83" w:rsidRPr="00226782">
        <w:rPr>
          <w:b/>
          <w:bCs/>
        </w:rPr>
        <w:t xml:space="preserve"> Días</w:t>
      </w:r>
    </w:p>
    <w:p w14:paraId="2A07633F" w14:textId="7877416C" w:rsidR="0066149A" w:rsidRDefault="0066149A" w:rsidP="005630DC">
      <w:pPr>
        <w:jc w:val="center"/>
        <w:rPr>
          <w:b/>
          <w:bCs/>
        </w:rPr>
      </w:pPr>
    </w:p>
    <w:p w14:paraId="447593CD" w14:textId="3E14586A" w:rsidR="00803F83" w:rsidRPr="0066149A" w:rsidRDefault="0066149A" w:rsidP="00C349F7">
      <w:pPr>
        <w:jc w:val="both"/>
        <w:rPr>
          <w:b/>
          <w:bCs/>
          <w:sz w:val="22"/>
          <w:szCs w:val="22"/>
        </w:rPr>
      </w:pPr>
      <w:r w:rsidRPr="0066149A">
        <w:rPr>
          <w:b/>
          <w:bCs/>
          <w:sz w:val="22"/>
          <w:szCs w:val="22"/>
        </w:rPr>
        <w:t xml:space="preserve">Vigencia: </w:t>
      </w:r>
      <w:proofErr w:type="gramStart"/>
      <w:r w:rsidRPr="0066149A">
        <w:rPr>
          <w:b/>
          <w:bCs/>
          <w:sz w:val="22"/>
          <w:szCs w:val="22"/>
        </w:rPr>
        <w:t>Junio</w:t>
      </w:r>
      <w:proofErr w:type="gramEnd"/>
      <w:r w:rsidRPr="0066149A">
        <w:rPr>
          <w:b/>
          <w:bCs/>
          <w:sz w:val="22"/>
          <w:szCs w:val="22"/>
        </w:rPr>
        <w:t xml:space="preserve"> 30 del 2021</w:t>
      </w:r>
    </w:p>
    <w:p w14:paraId="06A8D1E5" w14:textId="1588FEA2" w:rsidR="00C349F7" w:rsidRDefault="00C349F7" w:rsidP="00C349F7">
      <w:pPr>
        <w:jc w:val="both"/>
        <w:rPr>
          <w:sz w:val="22"/>
          <w:szCs w:val="22"/>
        </w:rPr>
      </w:pPr>
    </w:p>
    <w:p w14:paraId="6984AD5C" w14:textId="432C0580" w:rsidR="00C349F7" w:rsidRPr="00C349F7" w:rsidRDefault="00C349F7" w:rsidP="00C349F7">
      <w:pPr>
        <w:jc w:val="both"/>
        <w:rPr>
          <w:b/>
          <w:bCs/>
          <w:sz w:val="22"/>
          <w:szCs w:val="22"/>
        </w:rPr>
      </w:pPr>
      <w:r w:rsidRPr="00C349F7">
        <w:rPr>
          <w:b/>
          <w:bCs/>
          <w:sz w:val="22"/>
          <w:szCs w:val="22"/>
        </w:rPr>
        <w:t>Día 01 SANTA MARTA</w:t>
      </w:r>
    </w:p>
    <w:p w14:paraId="13DBF175" w14:textId="525507A8" w:rsidR="00C349F7" w:rsidRPr="00C349F7" w:rsidRDefault="00C349F7" w:rsidP="005D0B83">
      <w:pPr>
        <w:jc w:val="both"/>
        <w:rPr>
          <w:sz w:val="22"/>
          <w:szCs w:val="22"/>
        </w:rPr>
      </w:pPr>
      <w:r w:rsidRPr="00C349F7">
        <w:rPr>
          <w:sz w:val="22"/>
          <w:szCs w:val="22"/>
        </w:rPr>
        <w:t xml:space="preserve">A su llegada al Aeropuerto Internacional </w:t>
      </w:r>
      <w:r w:rsidR="003A19B9" w:rsidRPr="00C349F7">
        <w:rPr>
          <w:sz w:val="22"/>
          <w:szCs w:val="22"/>
        </w:rPr>
        <w:t>Simón</w:t>
      </w:r>
      <w:r w:rsidRPr="00C349F7">
        <w:rPr>
          <w:sz w:val="22"/>
          <w:szCs w:val="22"/>
        </w:rPr>
        <w:t xml:space="preserve"> Bolívar le estará esperando nuestro conductor</w:t>
      </w:r>
      <w:r w:rsidR="003A19B9">
        <w:rPr>
          <w:sz w:val="22"/>
          <w:szCs w:val="22"/>
        </w:rPr>
        <w:t xml:space="preserve"> </w:t>
      </w:r>
      <w:r w:rsidRPr="00C349F7">
        <w:rPr>
          <w:sz w:val="22"/>
          <w:szCs w:val="22"/>
        </w:rPr>
        <w:t>para llevarle al hotel.</w:t>
      </w:r>
      <w:r w:rsidR="003A19B9">
        <w:rPr>
          <w:sz w:val="22"/>
          <w:szCs w:val="22"/>
        </w:rPr>
        <w:t xml:space="preserve"> Alojamiento.</w:t>
      </w:r>
    </w:p>
    <w:p w14:paraId="4368FDDF" w14:textId="77777777" w:rsidR="00C349F7" w:rsidRDefault="00C349F7" w:rsidP="00C349F7">
      <w:pPr>
        <w:jc w:val="both"/>
        <w:rPr>
          <w:sz w:val="22"/>
          <w:szCs w:val="22"/>
        </w:rPr>
      </w:pPr>
    </w:p>
    <w:p w14:paraId="01E4C908" w14:textId="0EC91F36" w:rsidR="00011396" w:rsidRPr="00C349F7" w:rsidRDefault="00011396" w:rsidP="00011396">
      <w:pPr>
        <w:jc w:val="both"/>
        <w:rPr>
          <w:b/>
          <w:bCs/>
          <w:sz w:val="22"/>
          <w:szCs w:val="22"/>
        </w:rPr>
      </w:pPr>
      <w:r w:rsidRPr="00C349F7">
        <w:rPr>
          <w:b/>
          <w:bCs/>
          <w:sz w:val="22"/>
          <w:szCs w:val="22"/>
        </w:rPr>
        <w:t>Día 0</w:t>
      </w:r>
      <w:r>
        <w:rPr>
          <w:b/>
          <w:bCs/>
          <w:sz w:val="22"/>
          <w:szCs w:val="22"/>
        </w:rPr>
        <w:t>2</w:t>
      </w:r>
      <w:r w:rsidRPr="00C349F7">
        <w:rPr>
          <w:b/>
          <w:bCs/>
          <w:sz w:val="22"/>
          <w:szCs w:val="22"/>
        </w:rPr>
        <w:t xml:space="preserve"> SANTA MARTA</w:t>
      </w:r>
    </w:p>
    <w:p w14:paraId="4B0E5C1C" w14:textId="3B8EAAF5" w:rsidR="00C349F7" w:rsidRPr="00C349F7" w:rsidRDefault="00C349F7" w:rsidP="00C349F7">
      <w:pPr>
        <w:jc w:val="both"/>
        <w:rPr>
          <w:sz w:val="22"/>
          <w:szCs w:val="22"/>
        </w:rPr>
      </w:pPr>
      <w:r w:rsidRPr="00C349F7">
        <w:rPr>
          <w:sz w:val="22"/>
          <w:szCs w:val="22"/>
        </w:rPr>
        <w:t>Desayuno en el hotel y después en la tarde tendremos un City tour cultural en la ciudad de Santa Marta en donde disfrutaremos de un</w:t>
      </w:r>
      <w:r w:rsidR="006E174D">
        <w:rPr>
          <w:sz w:val="22"/>
          <w:szCs w:val="22"/>
        </w:rPr>
        <w:t xml:space="preserve"> </w:t>
      </w:r>
      <w:r w:rsidRPr="00C349F7">
        <w:rPr>
          <w:sz w:val="22"/>
          <w:szCs w:val="22"/>
        </w:rPr>
        <w:t>recorrido panorámico por el Rodadero, Visita a la Quinta de San Pedro Alejandrino, Museo Tayrona, Recorrido panorámico por la Ciudad de</w:t>
      </w:r>
      <w:r w:rsidR="006E174D">
        <w:rPr>
          <w:sz w:val="22"/>
          <w:szCs w:val="22"/>
        </w:rPr>
        <w:t xml:space="preserve"> </w:t>
      </w:r>
      <w:r w:rsidRPr="00C349F7">
        <w:rPr>
          <w:sz w:val="22"/>
          <w:szCs w:val="22"/>
        </w:rPr>
        <w:t>Santa Marta</w:t>
      </w:r>
      <w:r w:rsidR="006E174D">
        <w:rPr>
          <w:sz w:val="22"/>
          <w:szCs w:val="22"/>
        </w:rPr>
        <w:t>. Alojamiento.</w:t>
      </w:r>
    </w:p>
    <w:p w14:paraId="7DB1624B" w14:textId="77777777" w:rsidR="00C349F7" w:rsidRDefault="00C349F7" w:rsidP="00C349F7">
      <w:pPr>
        <w:jc w:val="both"/>
        <w:rPr>
          <w:sz w:val="22"/>
          <w:szCs w:val="22"/>
        </w:rPr>
      </w:pPr>
    </w:p>
    <w:p w14:paraId="4100E071" w14:textId="40DFDCA4" w:rsidR="00011396" w:rsidRPr="00C349F7" w:rsidRDefault="00011396" w:rsidP="00011396">
      <w:pPr>
        <w:jc w:val="both"/>
        <w:rPr>
          <w:b/>
          <w:bCs/>
          <w:sz w:val="22"/>
          <w:szCs w:val="22"/>
        </w:rPr>
      </w:pPr>
      <w:r w:rsidRPr="00C349F7">
        <w:rPr>
          <w:b/>
          <w:bCs/>
          <w:sz w:val="22"/>
          <w:szCs w:val="22"/>
        </w:rPr>
        <w:t>Día 0</w:t>
      </w:r>
      <w:r>
        <w:rPr>
          <w:b/>
          <w:bCs/>
          <w:sz w:val="22"/>
          <w:szCs w:val="22"/>
        </w:rPr>
        <w:t>3</w:t>
      </w:r>
      <w:r w:rsidRPr="00C349F7">
        <w:rPr>
          <w:b/>
          <w:bCs/>
          <w:sz w:val="22"/>
          <w:szCs w:val="22"/>
        </w:rPr>
        <w:t xml:space="preserve"> SANTA MARTA</w:t>
      </w:r>
    </w:p>
    <w:p w14:paraId="12CE98F9" w14:textId="5E8B868F" w:rsidR="00C349F7" w:rsidRPr="00C349F7" w:rsidRDefault="00C349F7" w:rsidP="00C349F7">
      <w:pPr>
        <w:jc w:val="both"/>
        <w:rPr>
          <w:sz w:val="22"/>
          <w:szCs w:val="22"/>
        </w:rPr>
      </w:pPr>
      <w:r w:rsidRPr="00C349F7">
        <w:rPr>
          <w:sz w:val="22"/>
          <w:szCs w:val="22"/>
        </w:rPr>
        <w:t>Desayuno en el hotel para después disfrutar un día en uno de los parques nacionales naturales más conocidos del país, el PNN Tayrona en</w:t>
      </w:r>
      <w:r w:rsidR="008550F3">
        <w:rPr>
          <w:sz w:val="22"/>
          <w:szCs w:val="22"/>
        </w:rPr>
        <w:t xml:space="preserve"> </w:t>
      </w:r>
      <w:r w:rsidRPr="00C349F7">
        <w:rPr>
          <w:sz w:val="22"/>
          <w:szCs w:val="22"/>
        </w:rPr>
        <w:t>cualquiera de sus dos sectores que nuestro pasajero escoja con anteriorida</w:t>
      </w:r>
      <w:r w:rsidR="008550F3">
        <w:rPr>
          <w:sz w:val="22"/>
          <w:szCs w:val="22"/>
        </w:rPr>
        <w:t>d:</w:t>
      </w:r>
      <w:r w:rsidRPr="00C349F7">
        <w:rPr>
          <w:sz w:val="22"/>
          <w:szCs w:val="22"/>
        </w:rPr>
        <w:t xml:space="preserve"> El sector de Cañaverales y Arrecifes o el sector de </w:t>
      </w:r>
      <w:proofErr w:type="spellStart"/>
      <w:r w:rsidRPr="00C349F7">
        <w:rPr>
          <w:sz w:val="22"/>
          <w:szCs w:val="22"/>
        </w:rPr>
        <w:t>Neguanje</w:t>
      </w:r>
      <w:proofErr w:type="spellEnd"/>
      <w:r w:rsidRPr="00C349F7">
        <w:rPr>
          <w:sz w:val="22"/>
          <w:szCs w:val="22"/>
        </w:rPr>
        <w:t xml:space="preserve"> y</w:t>
      </w:r>
      <w:r w:rsidR="008550F3">
        <w:rPr>
          <w:sz w:val="22"/>
          <w:szCs w:val="22"/>
        </w:rPr>
        <w:t xml:space="preserve"> </w:t>
      </w:r>
      <w:r w:rsidRPr="00C349F7">
        <w:rPr>
          <w:sz w:val="22"/>
          <w:szCs w:val="22"/>
        </w:rPr>
        <w:t>Playa Cristal. En horas de la tarde retornaremos a la ciudad de Santa Marta.</w:t>
      </w:r>
      <w:r w:rsidR="008550F3">
        <w:rPr>
          <w:sz w:val="22"/>
          <w:szCs w:val="22"/>
        </w:rPr>
        <w:t xml:space="preserve"> Alojamiento.</w:t>
      </w:r>
    </w:p>
    <w:p w14:paraId="4804B791" w14:textId="77777777" w:rsidR="00C349F7" w:rsidRDefault="00C349F7" w:rsidP="00C349F7">
      <w:pPr>
        <w:jc w:val="both"/>
        <w:rPr>
          <w:sz w:val="22"/>
          <w:szCs w:val="22"/>
        </w:rPr>
      </w:pPr>
    </w:p>
    <w:p w14:paraId="59AF3328" w14:textId="5E5857F3" w:rsidR="00011396" w:rsidRPr="00C349F7" w:rsidRDefault="00011396" w:rsidP="00011396">
      <w:pPr>
        <w:jc w:val="both"/>
        <w:rPr>
          <w:b/>
          <w:bCs/>
          <w:sz w:val="22"/>
          <w:szCs w:val="22"/>
        </w:rPr>
      </w:pPr>
      <w:r w:rsidRPr="00C349F7">
        <w:rPr>
          <w:b/>
          <w:bCs/>
          <w:sz w:val="22"/>
          <w:szCs w:val="22"/>
        </w:rPr>
        <w:t>Día 0</w:t>
      </w:r>
      <w:r>
        <w:rPr>
          <w:b/>
          <w:bCs/>
          <w:sz w:val="22"/>
          <w:szCs w:val="22"/>
        </w:rPr>
        <w:t>4</w:t>
      </w:r>
      <w:r w:rsidRPr="00C349F7">
        <w:rPr>
          <w:b/>
          <w:bCs/>
          <w:sz w:val="22"/>
          <w:szCs w:val="22"/>
        </w:rPr>
        <w:t xml:space="preserve"> SANTA MARTA</w:t>
      </w:r>
    </w:p>
    <w:p w14:paraId="439D486B" w14:textId="1ADACA3F" w:rsidR="00C349F7" w:rsidRDefault="00C349F7" w:rsidP="00C349F7">
      <w:pPr>
        <w:jc w:val="both"/>
        <w:rPr>
          <w:sz w:val="22"/>
          <w:szCs w:val="22"/>
        </w:rPr>
      </w:pPr>
      <w:r w:rsidRPr="00C349F7">
        <w:rPr>
          <w:sz w:val="22"/>
          <w:szCs w:val="22"/>
        </w:rPr>
        <w:t xml:space="preserve">Desayuno en el hotel, les recogeremos para trasladarlos nuevamente al Aeropuerto Internacional </w:t>
      </w:r>
      <w:r w:rsidR="008550F3" w:rsidRPr="00C349F7">
        <w:rPr>
          <w:sz w:val="22"/>
          <w:szCs w:val="22"/>
        </w:rPr>
        <w:t>Simón</w:t>
      </w:r>
      <w:r w:rsidRPr="00C349F7">
        <w:rPr>
          <w:sz w:val="22"/>
          <w:szCs w:val="22"/>
        </w:rPr>
        <w:t xml:space="preserve"> Bolívar</w:t>
      </w:r>
      <w:r w:rsidR="008550F3">
        <w:rPr>
          <w:sz w:val="22"/>
          <w:szCs w:val="22"/>
        </w:rPr>
        <w:t xml:space="preserve"> y…</w:t>
      </w:r>
    </w:p>
    <w:p w14:paraId="568D88B0" w14:textId="0EC1A274" w:rsidR="008550F3" w:rsidRDefault="008550F3" w:rsidP="00C349F7">
      <w:pPr>
        <w:jc w:val="both"/>
        <w:rPr>
          <w:sz w:val="22"/>
          <w:szCs w:val="22"/>
        </w:rPr>
      </w:pPr>
    </w:p>
    <w:p w14:paraId="3581FFCD" w14:textId="506794FE" w:rsidR="008550F3" w:rsidRPr="008550F3" w:rsidRDefault="008550F3" w:rsidP="008550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 DE NUESTROS SERVICIOS</w:t>
      </w:r>
    </w:p>
    <w:p w14:paraId="2D2ABF05" w14:textId="5BEEF323" w:rsidR="00C349F7" w:rsidRDefault="00C349F7" w:rsidP="00C349F7">
      <w:pPr>
        <w:jc w:val="both"/>
        <w:rPr>
          <w:sz w:val="22"/>
          <w:szCs w:val="22"/>
        </w:rPr>
      </w:pPr>
    </w:p>
    <w:p w14:paraId="78F27B20" w14:textId="096A6CAB" w:rsidR="00C349F7" w:rsidRDefault="00C349F7" w:rsidP="00C349F7">
      <w:pPr>
        <w:jc w:val="both"/>
        <w:rPr>
          <w:sz w:val="22"/>
          <w:szCs w:val="22"/>
        </w:rPr>
      </w:pPr>
    </w:p>
    <w:p w14:paraId="5F3C9660" w14:textId="409AA6B1" w:rsidR="00D47ABE" w:rsidRPr="007830E5" w:rsidRDefault="00D47ABE" w:rsidP="00C349F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PRECIOS POR PERSONA:</w:t>
      </w:r>
    </w:p>
    <w:p w14:paraId="3261BF36" w14:textId="77777777" w:rsidR="00D47ABE" w:rsidRDefault="00D47ABE" w:rsidP="00C349F7">
      <w:pPr>
        <w:jc w:val="both"/>
        <w:rPr>
          <w:b/>
          <w:bCs/>
          <w:sz w:val="22"/>
          <w:szCs w:val="22"/>
        </w:rPr>
      </w:pPr>
    </w:p>
    <w:p w14:paraId="6AF14864" w14:textId="600723D2" w:rsidR="00D47ABE" w:rsidRPr="00F73DCC" w:rsidRDefault="00D47ABE" w:rsidP="00C349F7">
      <w:pPr>
        <w:jc w:val="both"/>
        <w:rPr>
          <w:b/>
          <w:bCs/>
          <w:sz w:val="22"/>
          <w:szCs w:val="22"/>
        </w:rPr>
      </w:pPr>
      <w:r w:rsidRPr="00F73DCC">
        <w:rPr>
          <w:b/>
          <w:bCs/>
          <w:sz w:val="22"/>
          <w:szCs w:val="22"/>
        </w:rPr>
        <w:t xml:space="preserve">Vigencia: </w:t>
      </w:r>
      <w:r w:rsidR="005D329B">
        <w:rPr>
          <w:b/>
          <w:bCs/>
          <w:sz w:val="22"/>
          <w:szCs w:val="22"/>
        </w:rPr>
        <w:t>Ene</w:t>
      </w:r>
      <w:r w:rsidR="005D329B" w:rsidRPr="00F73DCC">
        <w:rPr>
          <w:b/>
          <w:bCs/>
          <w:sz w:val="22"/>
          <w:szCs w:val="22"/>
        </w:rPr>
        <w:t xml:space="preserve"> </w:t>
      </w:r>
      <w:r w:rsidR="005D329B">
        <w:rPr>
          <w:b/>
          <w:bCs/>
          <w:sz w:val="22"/>
          <w:szCs w:val="22"/>
        </w:rPr>
        <w:t>15</w:t>
      </w:r>
      <w:r w:rsidR="005D329B" w:rsidRPr="00F73DCC">
        <w:rPr>
          <w:b/>
          <w:bCs/>
          <w:sz w:val="22"/>
          <w:szCs w:val="22"/>
        </w:rPr>
        <w:t xml:space="preserve"> - </w:t>
      </w:r>
      <w:r w:rsidR="005D329B">
        <w:rPr>
          <w:b/>
          <w:bCs/>
          <w:sz w:val="22"/>
          <w:szCs w:val="22"/>
        </w:rPr>
        <w:t>Jun</w:t>
      </w:r>
      <w:r w:rsidR="005D329B" w:rsidRPr="00F73DCC">
        <w:rPr>
          <w:b/>
          <w:bCs/>
          <w:sz w:val="22"/>
          <w:szCs w:val="22"/>
        </w:rPr>
        <w:t xml:space="preserve"> </w:t>
      </w:r>
      <w:r w:rsidR="005D329B">
        <w:rPr>
          <w:b/>
          <w:bCs/>
          <w:sz w:val="22"/>
          <w:szCs w:val="22"/>
        </w:rPr>
        <w:t>30 (NO aplica para Semana Santa)</w:t>
      </w:r>
    </w:p>
    <w:tbl>
      <w:tblPr>
        <w:tblW w:w="468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1380"/>
        <w:gridCol w:w="1382"/>
        <w:gridCol w:w="1382"/>
        <w:gridCol w:w="1382"/>
      </w:tblGrid>
      <w:tr w:rsidR="00D47ABE" w:rsidRPr="001C03CC" w14:paraId="121D222F" w14:textId="77777777" w:rsidTr="00504688">
        <w:trPr>
          <w:trHeight w:val="50"/>
        </w:trPr>
        <w:tc>
          <w:tcPr>
            <w:tcW w:w="163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312FF" w14:textId="77777777" w:rsidR="00D47ABE" w:rsidRPr="001C03CC" w:rsidRDefault="00D47ABE" w:rsidP="00504688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HOTELES</w:t>
            </w:r>
          </w:p>
        </w:tc>
        <w:tc>
          <w:tcPr>
            <w:tcW w:w="84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CA56A" w14:textId="77777777" w:rsidR="00D47ABE" w:rsidRPr="001C03CC" w:rsidRDefault="00D47ABE" w:rsidP="00504688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DOBLE</w:t>
            </w:r>
          </w:p>
        </w:tc>
        <w:tc>
          <w:tcPr>
            <w:tcW w:w="842" w:type="pct"/>
            <w:vAlign w:val="center"/>
          </w:tcPr>
          <w:p w14:paraId="7C52B91B" w14:textId="77777777" w:rsidR="00D47ABE" w:rsidRPr="001C03CC" w:rsidRDefault="00D47ABE" w:rsidP="00504688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TRIPLE</w:t>
            </w:r>
          </w:p>
        </w:tc>
        <w:tc>
          <w:tcPr>
            <w:tcW w:w="842" w:type="pct"/>
            <w:vAlign w:val="center"/>
          </w:tcPr>
          <w:p w14:paraId="0C944CB4" w14:textId="77777777" w:rsidR="00D47ABE" w:rsidRPr="001C03CC" w:rsidRDefault="00D47ABE" w:rsidP="00504688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SENCILLA</w:t>
            </w:r>
          </w:p>
        </w:tc>
        <w:tc>
          <w:tcPr>
            <w:tcW w:w="842" w:type="pct"/>
            <w:vAlign w:val="center"/>
          </w:tcPr>
          <w:p w14:paraId="304F4DAA" w14:textId="77777777" w:rsidR="00D47ABE" w:rsidRDefault="00D47ABE" w:rsidP="00504688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NIÑO</w:t>
            </w:r>
          </w:p>
          <w:p w14:paraId="6D63360A" w14:textId="77777777" w:rsidR="00D47ABE" w:rsidRPr="001C03CC" w:rsidRDefault="00D47ABE" w:rsidP="00504688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(3-8 Años)</w:t>
            </w:r>
          </w:p>
        </w:tc>
      </w:tr>
      <w:tr w:rsidR="00D47ABE" w:rsidRPr="001C03CC" w14:paraId="0AA19A72" w14:textId="77777777" w:rsidTr="00504688">
        <w:trPr>
          <w:trHeight w:val="182"/>
        </w:trPr>
        <w:tc>
          <w:tcPr>
            <w:tcW w:w="163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524FE" w14:textId="56EFC058" w:rsidR="00D47ABE" w:rsidRPr="001C03CC" w:rsidRDefault="00D47ABE" w:rsidP="00504688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Hotel </w:t>
            </w:r>
            <w:r w:rsidR="00E55E78">
              <w:rPr>
                <w:b/>
                <w:sz w:val="22"/>
                <w:szCs w:val="22"/>
              </w:rPr>
              <w:t xml:space="preserve">Blue </w:t>
            </w:r>
            <w:proofErr w:type="spellStart"/>
            <w:r w:rsidR="00E55E78">
              <w:rPr>
                <w:b/>
                <w:sz w:val="22"/>
                <w:szCs w:val="22"/>
              </w:rPr>
              <w:t>by</w:t>
            </w:r>
            <w:proofErr w:type="spellEnd"/>
            <w:r w:rsidR="00E55E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55E78">
              <w:rPr>
                <w:b/>
                <w:sz w:val="22"/>
                <w:szCs w:val="22"/>
              </w:rPr>
              <w:t>Tamaca</w:t>
            </w:r>
            <w:proofErr w:type="spellEnd"/>
          </w:p>
        </w:tc>
        <w:tc>
          <w:tcPr>
            <w:tcW w:w="84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8D56C" w14:textId="7A62A728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>$</w:t>
            </w:r>
            <w:r w:rsidR="00E55E78">
              <w:rPr>
                <w:b/>
                <w:sz w:val="22"/>
                <w:szCs w:val="22"/>
              </w:rPr>
              <w:t xml:space="preserve"> </w:t>
            </w:r>
            <w:r w:rsidR="001D014B">
              <w:rPr>
                <w:b/>
                <w:sz w:val="22"/>
                <w:szCs w:val="22"/>
              </w:rPr>
              <w:t>873</w:t>
            </w:r>
            <w:r>
              <w:rPr>
                <w:b/>
                <w:sz w:val="22"/>
                <w:szCs w:val="22"/>
              </w:rPr>
              <w:t>.</w:t>
            </w:r>
            <w:r w:rsidRPr="001C03C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2" w:type="pct"/>
            <w:vAlign w:val="center"/>
          </w:tcPr>
          <w:p w14:paraId="3D00966F" w14:textId="011804D8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1D014B">
              <w:rPr>
                <w:b/>
                <w:sz w:val="22"/>
                <w:szCs w:val="22"/>
              </w:rPr>
              <w:t>842</w:t>
            </w:r>
            <w:r>
              <w:rPr>
                <w:b/>
                <w:sz w:val="22"/>
                <w:szCs w:val="22"/>
              </w:rPr>
              <w:t>.</w:t>
            </w:r>
            <w:r w:rsidRPr="001C03C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2" w:type="pct"/>
            <w:vAlign w:val="center"/>
          </w:tcPr>
          <w:p w14:paraId="5A97F704" w14:textId="6CA23F77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>
              <w:rPr>
                <w:b/>
                <w:sz w:val="22"/>
                <w:szCs w:val="22"/>
              </w:rPr>
              <w:t>1’</w:t>
            </w:r>
            <w:r w:rsidR="00E55E78">
              <w:rPr>
                <w:b/>
                <w:sz w:val="22"/>
                <w:szCs w:val="22"/>
              </w:rPr>
              <w:t>3</w:t>
            </w:r>
            <w:r w:rsidR="001D014B">
              <w:rPr>
                <w:b/>
                <w:sz w:val="22"/>
                <w:szCs w:val="22"/>
              </w:rPr>
              <w:t>09</w:t>
            </w:r>
            <w:r w:rsidRPr="001C03CC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842" w:type="pct"/>
            <w:vAlign w:val="center"/>
          </w:tcPr>
          <w:p w14:paraId="12EC345D" w14:textId="654B0FD5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1D014B">
              <w:rPr>
                <w:b/>
                <w:sz w:val="22"/>
                <w:szCs w:val="22"/>
              </w:rPr>
              <w:t>602</w:t>
            </w:r>
            <w:r w:rsidRPr="001C03CC">
              <w:rPr>
                <w:b/>
                <w:sz w:val="22"/>
                <w:szCs w:val="22"/>
              </w:rPr>
              <w:t>.000</w:t>
            </w:r>
          </w:p>
        </w:tc>
      </w:tr>
      <w:tr w:rsidR="00D47ABE" w:rsidRPr="001C03CC" w14:paraId="23A18F6D" w14:textId="77777777" w:rsidTr="00504688">
        <w:trPr>
          <w:trHeight w:val="182"/>
        </w:trPr>
        <w:tc>
          <w:tcPr>
            <w:tcW w:w="163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EC5E7" w14:textId="1CD01605" w:rsidR="00D47ABE" w:rsidRDefault="00D47ABE" w:rsidP="00504688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Hotel </w:t>
            </w:r>
            <w:r w:rsidR="00E55E78" w:rsidRPr="00E55E78">
              <w:rPr>
                <w:b/>
                <w:sz w:val="22"/>
                <w:szCs w:val="22"/>
              </w:rPr>
              <w:t>Santa Mar Estelar</w:t>
            </w:r>
          </w:p>
        </w:tc>
        <w:tc>
          <w:tcPr>
            <w:tcW w:w="84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B1B7D" w14:textId="7CEFA260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1D014B">
              <w:rPr>
                <w:b/>
                <w:sz w:val="22"/>
                <w:szCs w:val="22"/>
              </w:rPr>
              <w:t>9</w:t>
            </w:r>
            <w:r w:rsidR="00683E6B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842" w:type="pct"/>
            <w:vAlign w:val="center"/>
          </w:tcPr>
          <w:p w14:paraId="298A6BE5" w14:textId="3C121EE8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1D014B">
              <w:rPr>
                <w:b/>
                <w:sz w:val="22"/>
                <w:szCs w:val="22"/>
              </w:rPr>
              <w:t>802</w:t>
            </w:r>
            <w:r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842" w:type="pct"/>
            <w:vAlign w:val="center"/>
          </w:tcPr>
          <w:p w14:paraId="3E59EFCE" w14:textId="6115BAB4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$ 1’</w:t>
            </w:r>
            <w:r w:rsidR="001D014B">
              <w:rPr>
                <w:b/>
                <w:sz w:val="22"/>
                <w:szCs w:val="22"/>
              </w:rPr>
              <w:t>451</w:t>
            </w:r>
            <w:r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842" w:type="pct"/>
            <w:vAlign w:val="center"/>
          </w:tcPr>
          <w:p w14:paraId="1B5193D8" w14:textId="46F6532A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>
              <w:rPr>
                <w:b/>
                <w:sz w:val="22"/>
                <w:szCs w:val="22"/>
              </w:rPr>
              <w:t>6</w:t>
            </w:r>
            <w:r w:rsidR="001D014B">
              <w:rPr>
                <w:b/>
                <w:sz w:val="22"/>
                <w:szCs w:val="22"/>
              </w:rPr>
              <w:t>02</w:t>
            </w:r>
            <w:r w:rsidRPr="001C03CC">
              <w:rPr>
                <w:b/>
                <w:sz w:val="22"/>
                <w:szCs w:val="22"/>
              </w:rPr>
              <w:t>.000</w:t>
            </w:r>
          </w:p>
        </w:tc>
      </w:tr>
      <w:tr w:rsidR="00D47ABE" w:rsidRPr="001C03CC" w14:paraId="42E7A637" w14:textId="77777777" w:rsidTr="00504688">
        <w:trPr>
          <w:trHeight w:val="182"/>
        </w:trPr>
        <w:tc>
          <w:tcPr>
            <w:tcW w:w="163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806CB" w14:textId="26A80AD5" w:rsidR="00D47ABE" w:rsidRDefault="00D47ABE" w:rsidP="00504688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Hotel </w:t>
            </w:r>
            <w:proofErr w:type="spellStart"/>
            <w:r w:rsidR="00E55E78">
              <w:rPr>
                <w:b/>
                <w:sz w:val="22"/>
                <w:szCs w:val="22"/>
              </w:rPr>
              <w:t>Tamaca</w:t>
            </w:r>
            <w:proofErr w:type="spellEnd"/>
          </w:p>
        </w:tc>
        <w:tc>
          <w:tcPr>
            <w:tcW w:w="84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94415" w14:textId="20DC2563" w:rsidR="00D47ABE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>
              <w:rPr>
                <w:b/>
                <w:sz w:val="22"/>
                <w:szCs w:val="22"/>
              </w:rPr>
              <w:t>1’</w:t>
            </w:r>
            <w:r w:rsidR="00683E6B">
              <w:rPr>
                <w:b/>
                <w:sz w:val="22"/>
                <w:szCs w:val="22"/>
              </w:rPr>
              <w:t>2</w:t>
            </w:r>
            <w:r w:rsidR="001D014B">
              <w:rPr>
                <w:b/>
                <w:sz w:val="22"/>
                <w:szCs w:val="22"/>
              </w:rPr>
              <w:t>64</w:t>
            </w:r>
            <w:r>
              <w:rPr>
                <w:b/>
                <w:sz w:val="22"/>
                <w:szCs w:val="22"/>
              </w:rPr>
              <w:t>.</w:t>
            </w:r>
            <w:r w:rsidRPr="001C03C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2" w:type="pct"/>
            <w:vAlign w:val="center"/>
          </w:tcPr>
          <w:p w14:paraId="13B5A529" w14:textId="57BA1513" w:rsidR="00D47ABE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>
              <w:rPr>
                <w:b/>
                <w:sz w:val="22"/>
                <w:szCs w:val="22"/>
              </w:rPr>
              <w:t>1’</w:t>
            </w:r>
            <w:r w:rsidR="001D014B">
              <w:rPr>
                <w:b/>
                <w:sz w:val="22"/>
                <w:szCs w:val="22"/>
              </w:rPr>
              <w:t>180</w:t>
            </w:r>
            <w:r>
              <w:rPr>
                <w:b/>
                <w:sz w:val="22"/>
                <w:szCs w:val="22"/>
              </w:rPr>
              <w:t>.</w:t>
            </w:r>
            <w:r w:rsidRPr="001C03C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2" w:type="pct"/>
            <w:vAlign w:val="center"/>
          </w:tcPr>
          <w:p w14:paraId="3A8DCCF8" w14:textId="761F9108" w:rsidR="00D47ABE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1D014B">
              <w:rPr>
                <w:b/>
                <w:sz w:val="22"/>
                <w:szCs w:val="22"/>
              </w:rPr>
              <w:t>2’024</w:t>
            </w:r>
            <w:r w:rsidRPr="001C03CC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842" w:type="pct"/>
            <w:vAlign w:val="center"/>
          </w:tcPr>
          <w:p w14:paraId="6CFD0CF9" w14:textId="736AEFF3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E55E78">
              <w:rPr>
                <w:b/>
                <w:sz w:val="22"/>
                <w:szCs w:val="22"/>
              </w:rPr>
              <w:t>6</w:t>
            </w:r>
            <w:r w:rsidR="001D014B">
              <w:rPr>
                <w:b/>
                <w:sz w:val="22"/>
                <w:szCs w:val="22"/>
              </w:rPr>
              <w:t>02</w:t>
            </w:r>
            <w:r w:rsidRPr="001C03CC">
              <w:rPr>
                <w:b/>
                <w:sz w:val="22"/>
                <w:szCs w:val="22"/>
              </w:rPr>
              <w:t>.000</w:t>
            </w:r>
          </w:p>
        </w:tc>
      </w:tr>
      <w:tr w:rsidR="00D47ABE" w:rsidRPr="001C03CC" w14:paraId="2E3D5444" w14:textId="77777777" w:rsidTr="00504688">
        <w:trPr>
          <w:trHeight w:val="182"/>
        </w:trPr>
        <w:tc>
          <w:tcPr>
            <w:tcW w:w="163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06C43" w14:textId="69A666C7" w:rsidR="00D47ABE" w:rsidRDefault="00D47ABE" w:rsidP="00504688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Hotel </w:t>
            </w:r>
            <w:proofErr w:type="spellStart"/>
            <w:r w:rsidR="00E55E78">
              <w:rPr>
                <w:b/>
                <w:sz w:val="22"/>
                <w:szCs w:val="22"/>
              </w:rPr>
              <w:t>Irotama</w:t>
            </w:r>
            <w:proofErr w:type="spellEnd"/>
          </w:p>
        </w:tc>
        <w:tc>
          <w:tcPr>
            <w:tcW w:w="84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62FD6" w14:textId="29CB507C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>
              <w:rPr>
                <w:b/>
                <w:sz w:val="22"/>
                <w:szCs w:val="22"/>
              </w:rPr>
              <w:t>1’</w:t>
            </w:r>
            <w:r w:rsidR="001D014B">
              <w:rPr>
                <w:b/>
                <w:sz w:val="22"/>
                <w:szCs w:val="22"/>
              </w:rPr>
              <w:t>882</w:t>
            </w:r>
            <w:r>
              <w:rPr>
                <w:b/>
                <w:sz w:val="22"/>
                <w:szCs w:val="22"/>
              </w:rPr>
              <w:t>.</w:t>
            </w:r>
            <w:r w:rsidRPr="001C03C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2" w:type="pct"/>
            <w:vAlign w:val="center"/>
          </w:tcPr>
          <w:p w14:paraId="31861B5B" w14:textId="150F11FA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683E6B">
              <w:rPr>
                <w:b/>
                <w:sz w:val="22"/>
                <w:szCs w:val="22"/>
              </w:rPr>
              <w:t>1’</w:t>
            </w:r>
            <w:r w:rsidR="001D014B">
              <w:rPr>
                <w:b/>
                <w:sz w:val="22"/>
                <w:szCs w:val="22"/>
              </w:rPr>
              <w:t>429</w:t>
            </w:r>
            <w:r>
              <w:rPr>
                <w:b/>
                <w:sz w:val="22"/>
                <w:szCs w:val="22"/>
              </w:rPr>
              <w:t>.</w:t>
            </w:r>
            <w:r w:rsidRPr="001C03C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2" w:type="pct"/>
            <w:vAlign w:val="center"/>
          </w:tcPr>
          <w:p w14:paraId="00D43A38" w14:textId="6F0D1FC0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683E6B">
              <w:rPr>
                <w:b/>
                <w:sz w:val="22"/>
                <w:szCs w:val="22"/>
              </w:rPr>
              <w:t>2’</w:t>
            </w:r>
            <w:r w:rsidR="001D014B">
              <w:rPr>
                <w:b/>
                <w:sz w:val="22"/>
                <w:szCs w:val="22"/>
              </w:rPr>
              <w:t>780</w:t>
            </w:r>
            <w:r w:rsidRPr="001C03CC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842" w:type="pct"/>
            <w:vAlign w:val="center"/>
          </w:tcPr>
          <w:p w14:paraId="68CA26BF" w14:textId="46BC4732" w:rsidR="00D47ABE" w:rsidRPr="001C03CC" w:rsidRDefault="00D47ABE" w:rsidP="00504688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E55E78">
              <w:rPr>
                <w:b/>
                <w:sz w:val="22"/>
                <w:szCs w:val="22"/>
              </w:rPr>
              <w:t>1’</w:t>
            </w:r>
            <w:r w:rsidR="001D014B">
              <w:rPr>
                <w:b/>
                <w:sz w:val="22"/>
                <w:szCs w:val="22"/>
              </w:rPr>
              <w:t>429</w:t>
            </w:r>
            <w:r w:rsidRPr="001C03CC">
              <w:rPr>
                <w:b/>
                <w:sz w:val="22"/>
                <w:szCs w:val="22"/>
              </w:rPr>
              <w:t>.000</w:t>
            </w:r>
          </w:p>
        </w:tc>
      </w:tr>
    </w:tbl>
    <w:p w14:paraId="7582C59C" w14:textId="01D682B5" w:rsidR="00612884" w:rsidRDefault="00612884" w:rsidP="007830E5">
      <w:pPr>
        <w:pStyle w:val="Textoindependiente3"/>
        <w:spacing w:after="0"/>
        <w:jc w:val="both"/>
        <w:rPr>
          <w:b/>
          <w:bCs/>
          <w:sz w:val="22"/>
          <w:szCs w:val="22"/>
        </w:rPr>
      </w:pPr>
    </w:p>
    <w:p w14:paraId="1D61109B" w14:textId="77777777" w:rsidR="00D47ABE" w:rsidRDefault="00D47ABE" w:rsidP="007830E5">
      <w:pPr>
        <w:pStyle w:val="Textoindependiente3"/>
        <w:spacing w:after="0"/>
        <w:jc w:val="both"/>
        <w:rPr>
          <w:b/>
          <w:bCs/>
          <w:sz w:val="22"/>
          <w:szCs w:val="22"/>
        </w:rPr>
      </w:pPr>
    </w:p>
    <w:p w14:paraId="0C3F55E9" w14:textId="41BE5CB0" w:rsidR="007830E5" w:rsidRPr="00BD7EF0" w:rsidRDefault="007830E5" w:rsidP="007830E5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LOS PRECIOS INCLUYEN:</w:t>
      </w:r>
    </w:p>
    <w:p w14:paraId="0CE91FAF" w14:textId="77777777" w:rsidR="00A57049" w:rsidRPr="005C570B" w:rsidRDefault="00A57049" w:rsidP="00A57049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5C570B">
        <w:rPr>
          <w:sz w:val="22"/>
          <w:szCs w:val="22"/>
        </w:rPr>
        <w:t xml:space="preserve">Alojamiento en </w:t>
      </w:r>
      <w:r>
        <w:rPr>
          <w:sz w:val="22"/>
          <w:szCs w:val="22"/>
        </w:rPr>
        <w:t>el Hotel seleccionado</w:t>
      </w:r>
    </w:p>
    <w:p w14:paraId="19C11322" w14:textId="02BFE1FB" w:rsidR="0008067A" w:rsidRDefault="005630DC" w:rsidP="005C570B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Desayunos diarios</w:t>
      </w:r>
    </w:p>
    <w:p w14:paraId="4AC5F665" w14:textId="18637946" w:rsidR="00A57049" w:rsidRDefault="00A57049" w:rsidP="005C570B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A57049">
        <w:rPr>
          <w:sz w:val="22"/>
          <w:szCs w:val="22"/>
        </w:rPr>
        <w:t xml:space="preserve">City </w:t>
      </w:r>
      <w:r w:rsidR="00EE7C9E">
        <w:rPr>
          <w:sz w:val="22"/>
          <w:szCs w:val="22"/>
        </w:rPr>
        <w:t>T</w:t>
      </w:r>
      <w:r>
        <w:rPr>
          <w:sz w:val="22"/>
          <w:szCs w:val="22"/>
        </w:rPr>
        <w:t xml:space="preserve">our </w:t>
      </w:r>
      <w:r w:rsidRPr="00A57049">
        <w:rPr>
          <w:sz w:val="22"/>
          <w:szCs w:val="22"/>
        </w:rPr>
        <w:t>por la ciudad</w:t>
      </w:r>
      <w:r>
        <w:rPr>
          <w:sz w:val="22"/>
          <w:szCs w:val="22"/>
        </w:rPr>
        <w:t xml:space="preserve"> en s</w:t>
      </w:r>
      <w:r w:rsidRPr="00A57049">
        <w:rPr>
          <w:sz w:val="22"/>
          <w:szCs w:val="22"/>
        </w:rPr>
        <w:t>ervicio compartido (Transporte, guía, entradas)</w:t>
      </w:r>
    </w:p>
    <w:p w14:paraId="2B8BBBB7" w14:textId="77FF7FFC" w:rsidR="00A57049" w:rsidRPr="00A57049" w:rsidRDefault="00A57049" w:rsidP="001A559D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A57049">
        <w:rPr>
          <w:sz w:val="22"/>
          <w:szCs w:val="22"/>
        </w:rPr>
        <w:t xml:space="preserve">Tour </w:t>
      </w:r>
      <w:r w:rsidR="004D3E7A">
        <w:rPr>
          <w:sz w:val="22"/>
          <w:szCs w:val="22"/>
        </w:rPr>
        <w:t>P</w:t>
      </w:r>
      <w:r w:rsidRPr="00A57049">
        <w:rPr>
          <w:sz w:val="22"/>
          <w:szCs w:val="22"/>
        </w:rPr>
        <w:t xml:space="preserve">arque Tayrona: Sector </w:t>
      </w:r>
      <w:proofErr w:type="spellStart"/>
      <w:r w:rsidRPr="00A57049">
        <w:rPr>
          <w:sz w:val="22"/>
          <w:szCs w:val="22"/>
        </w:rPr>
        <w:t>Neguanje</w:t>
      </w:r>
      <w:proofErr w:type="spellEnd"/>
      <w:r w:rsidRPr="00A57049">
        <w:rPr>
          <w:sz w:val="22"/>
          <w:szCs w:val="22"/>
        </w:rPr>
        <w:t xml:space="preserve"> y playa cristal O Sector cañaveral y arrecifes</w:t>
      </w:r>
      <w:r>
        <w:rPr>
          <w:sz w:val="22"/>
          <w:szCs w:val="22"/>
        </w:rPr>
        <w:t xml:space="preserve"> en s</w:t>
      </w:r>
      <w:r w:rsidRPr="00A57049">
        <w:rPr>
          <w:sz w:val="22"/>
          <w:szCs w:val="22"/>
        </w:rPr>
        <w:t>ervicio compartido</w:t>
      </w:r>
      <w:r>
        <w:rPr>
          <w:sz w:val="22"/>
          <w:szCs w:val="22"/>
        </w:rPr>
        <w:t xml:space="preserve"> </w:t>
      </w:r>
      <w:r w:rsidRPr="00A57049">
        <w:rPr>
          <w:sz w:val="22"/>
          <w:szCs w:val="22"/>
        </w:rPr>
        <w:t>(Transporte, guía, entrada)</w:t>
      </w:r>
    </w:p>
    <w:p w14:paraId="394793B6" w14:textId="77777777" w:rsidR="00F2086D" w:rsidRPr="005C570B" w:rsidRDefault="00F2086D" w:rsidP="00F2086D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5C570B">
        <w:rPr>
          <w:sz w:val="22"/>
          <w:szCs w:val="22"/>
        </w:rPr>
        <w:t xml:space="preserve">Traslados Aeropuerto </w:t>
      </w:r>
      <w:r>
        <w:rPr>
          <w:sz w:val="22"/>
          <w:szCs w:val="22"/>
        </w:rPr>
        <w:t>/ Hotel / Aeropuerto</w:t>
      </w:r>
      <w:r w:rsidRPr="00B51FED">
        <w:rPr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 w:rsidRPr="00B51FED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B51FED">
        <w:rPr>
          <w:sz w:val="22"/>
          <w:szCs w:val="22"/>
        </w:rPr>
        <w:t>ervicio compartido</w:t>
      </w:r>
    </w:p>
    <w:p w14:paraId="06CDC3E5" w14:textId="77777777" w:rsidR="00803F83" w:rsidRDefault="00803F83" w:rsidP="0008067A">
      <w:pPr>
        <w:jc w:val="both"/>
        <w:rPr>
          <w:sz w:val="22"/>
          <w:szCs w:val="22"/>
        </w:rPr>
      </w:pPr>
    </w:p>
    <w:p w14:paraId="0E974581" w14:textId="77777777" w:rsidR="005C570B" w:rsidRPr="00BD7EF0" w:rsidRDefault="005C570B" w:rsidP="005C570B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NO INCLUYEN:</w:t>
      </w:r>
    </w:p>
    <w:p w14:paraId="5C522720" w14:textId="77777777" w:rsidR="005C570B" w:rsidRPr="00BD7EF0" w:rsidRDefault="005C570B" w:rsidP="005C570B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 xml:space="preserve">Tiquetes aéreos </w:t>
      </w:r>
    </w:p>
    <w:p w14:paraId="56B3D87B" w14:textId="77777777" w:rsidR="005C570B" w:rsidRDefault="005C570B" w:rsidP="005C570B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Tasas Aeroportuarias</w:t>
      </w:r>
    </w:p>
    <w:p w14:paraId="403CA7A4" w14:textId="77777777" w:rsidR="004D3E7A" w:rsidRPr="005C570B" w:rsidRDefault="004D3E7A" w:rsidP="004D3E7A">
      <w:pPr>
        <w:pStyle w:val="Prrafodelista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Tarjeta de Asistencia Medica</w:t>
      </w:r>
    </w:p>
    <w:p w14:paraId="55CD928B" w14:textId="7E4200EE" w:rsidR="004D3E7A" w:rsidRDefault="004D3E7A" w:rsidP="005C570B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Almuerzo en Parque Tayrona</w:t>
      </w:r>
    </w:p>
    <w:p w14:paraId="4C84C910" w14:textId="71F8186A" w:rsidR="005C570B" w:rsidRPr="00BD7EF0" w:rsidRDefault="005C570B" w:rsidP="005C570B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Comidas no especificadas</w:t>
      </w:r>
    </w:p>
    <w:p w14:paraId="1D22579C" w14:textId="77777777" w:rsidR="005C570B" w:rsidRPr="00BD7EF0" w:rsidRDefault="005C570B" w:rsidP="005C570B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Gastos de índole personal como lavandería, llamadas telefónicas, etc.</w:t>
      </w:r>
    </w:p>
    <w:p w14:paraId="3ABB81FC" w14:textId="515DAD5D" w:rsidR="007830E5" w:rsidRPr="00FC66E9" w:rsidRDefault="005C570B" w:rsidP="0008067A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Servicios no especificados</w:t>
      </w:r>
    </w:p>
    <w:p w14:paraId="6B17FC8F" w14:textId="77777777" w:rsidR="00C51E95" w:rsidRDefault="00C51E95" w:rsidP="0008067A">
      <w:pPr>
        <w:jc w:val="both"/>
        <w:rPr>
          <w:b/>
          <w:bCs/>
          <w:sz w:val="22"/>
          <w:szCs w:val="22"/>
        </w:rPr>
      </w:pPr>
    </w:p>
    <w:p w14:paraId="5DDB692D" w14:textId="77777777" w:rsidR="00C51E95" w:rsidRDefault="00C51E95" w:rsidP="0008067A">
      <w:pPr>
        <w:jc w:val="both"/>
        <w:rPr>
          <w:b/>
          <w:bCs/>
          <w:sz w:val="22"/>
          <w:szCs w:val="22"/>
        </w:rPr>
      </w:pPr>
    </w:p>
    <w:p w14:paraId="3A4C6755" w14:textId="20D0EB15" w:rsidR="0008067A" w:rsidRPr="00612884" w:rsidRDefault="0008067A" w:rsidP="0008067A">
      <w:pPr>
        <w:jc w:val="both"/>
        <w:rPr>
          <w:b/>
          <w:bCs/>
          <w:sz w:val="22"/>
          <w:szCs w:val="22"/>
        </w:rPr>
      </w:pPr>
      <w:r w:rsidRPr="00612884">
        <w:rPr>
          <w:b/>
          <w:bCs/>
          <w:sz w:val="22"/>
          <w:szCs w:val="22"/>
        </w:rPr>
        <w:t>NOTA</w:t>
      </w:r>
      <w:r w:rsidR="00496FB4" w:rsidRPr="00612884">
        <w:rPr>
          <w:b/>
          <w:bCs/>
          <w:sz w:val="22"/>
          <w:szCs w:val="22"/>
        </w:rPr>
        <w:t>S</w:t>
      </w:r>
      <w:r w:rsidRPr="00612884">
        <w:rPr>
          <w:b/>
          <w:bCs/>
          <w:sz w:val="22"/>
          <w:szCs w:val="22"/>
        </w:rPr>
        <w:t>:</w:t>
      </w:r>
    </w:p>
    <w:p w14:paraId="71814ADF" w14:textId="77777777" w:rsidR="007C074E" w:rsidRDefault="007C074E" w:rsidP="007C074E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50037652"/>
      <w:r>
        <w:rPr>
          <w:sz w:val="22"/>
          <w:szCs w:val="22"/>
        </w:rPr>
        <w:t>Precios no aplican para la temporada de Semana Santa, para estas fechas se debe solicitar cotización.</w:t>
      </w:r>
    </w:p>
    <w:p w14:paraId="62988795" w14:textId="77777777" w:rsidR="00AF7A0F" w:rsidRPr="00612884" w:rsidRDefault="00AF7A0F" w:rsidP="00AF7A0F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 w:rsidRPr="00612884">
        <w:rPr>
          <w:sz w:val="22"/>
          <w:szCs w:val="22"/>
        </w:rPr>
        <w:t xml:space="preserve">Tarifa de Niño aplica siempre y cuando </w:t>
      </w:r>
      <w:r>
        <w:rPr>
          <w:sz w:val="22"/>
          <w:szCs w:val="22"/>
        </w:rPr>
        <w:t>se alojen</w:t>
      </w:r>
      <w:r w:rsidRPr="006128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 w:rsidRPr="00612884">
        <w:rPr>
          <w:sz w:val="22"/>
          <w:szCs w:val="22"/>
        </w:rPr>
        <w:t>mínimo con dos adultos.</w:t>
      </w:r>
    </w:p>
    <w:p w14:paraId="7089D771" w14:textId="77777777" w:rsidR="00AF7A0F" w:rsidRPr="00612884" w:rsidRDefault="00AF7A0F" w:rsidP="00AF7A0F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Todos los servicios cotizados en servicios compartido (con más pasajeros).</w:t>
      </w:r>
    </w:p>
    <w:p w14:paraId="731AF5A5" w14:textId="77777777" w:rsidR="00AF7A0F" w:rsidRPr="00612884" w:rsidRDefault="00AF7A0F" w:rsidP="00AF7A0F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 w:rsidRPr="00612884">
        <w:rPr>
          <w:sz w:val="22"/>
          <w:szCs w:val="22"/>
        </w:rPr>
        <w:t xml:space="preserve">Todo cambio que se </w:t>
      </w:r>
      <w:r>
        <w:rPr>
          <w:sz w:val="22"/>
          <w:szCs w:val="22"/>
        </w:rPr>
        <w:t xml:space="preserve">realice al programa </w:t>
      </w:r>
      <w:r w:rsidRPr="00612884">
        <w:rPr>
          <w:sz w:val="22"/>
          <w:szCs w:val="22"/>
        </w:rPr>
        <w:t xml:space="preserve">inicial debe ser </w:t>
      </w:r>
      <w:r>
        <w:rPr>
          <w:sz w:val="22"/>
          <w:szCs w:val="22"/>
        </w:rPr>
        <w:t>cotizado.</w:t>
      </w:r>
    </w:p>
    <w:p w14:paraId="6C4EB4D9" w14:textId="77777777" w:rsidR="00AF7A0F" w:rsidRPr="00612884" w:rsidRDefault="00AF7A0F" w:rsidP="00AF7A0F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 w:rsidRPr="00612884">
        <w:rPr>
          <w:sz w:val="22"/>
          <w:szCs w:val="22"/>
        </w:rPr>
        <w:t>Por ser paquetes estos programas tienen tarifas especiales de tal manera que servicios no utilizados no son reembolsables, canjeables o trasferibles.</w:t>
      </w:r>
    </w:p>
    <w:bookmarkEnd w:id="0"/>
    <w:p w14:paraId="2C7C6FB9" w14:textId="77777777" w:rsidR="00612884" w:rsidRPr="00612884" w:rsidRDefault="00612884" w:rsidP="00612884">
      <w:pPr>
        <w:jc w:val="both"/>
        <w:rPr>
          <w:b/>
          <w:bCs/>
          <w:sz w:val="22"/>
          <w:szCs w:val="22"/>
        </w:rPr>
      </w:pPr>
    </w:p>
    <w:sectPr w:rsidR="00612884" w:rsidRPr="00612884" w:rsidSect="00FA21B9">
      <w:pgSz w:w="12240" w:h="15840" w:code="1"/>
      <w:pgMar w:top="1418" w:right="17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Helvetica 55"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0F7"/>
    <w:multiLevelType w:val="hybridMultilevel"/>
    <w:tmpl w:val="43DA81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DF3"/>
    <w:multiLevelType w:val="hybridMultilevel"/>
    <w:tmpl w:val="77B4A0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ECE"/>
    <w:multiLevelType w:val="hybridMultilevel"/>
    <w:tmpl w:val="E468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4591"/>
    <w:multiLevelType w:val="hybridMultilevel"/>
    <w:tmpl w:val="2E9A58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9114BF"/>
    <w:multiLevelType w:val="hybridMultilevel"/>
    <w:tmpl w:val="3A2044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01396"/>
    <w:multiLevelType w:val="hybridMultilevel"/>
    <w:tmpl w:val="5C7EB136"/>
    <w:lvl w:ilvl="0" w:tplc="DC509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B40A5"/>
    <w:multiLevelType w:val="hybridMultilevel"/>
    <w:tmpl w:val="6C72CB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E76628"/>
    <w:multiLevelType w:val="hybridMultilevel"/>
    <w:tmpl w:val="98603E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A7ECB"/>
    <w:multiLevelType w:val="hybridMultilevel"/>
    <w:tmpl w:val="041A96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806D5D"/>
    <w:multiLevelType w:val="hybridMultilevel"/>
    <w:tmpl w:val="C204BB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40AB"/>
    <w:multiLevelType w:val="hybridMultilevel"/>
    <w:tmpl w:val="3BEEA7E2"/>
    <w:lvl w:ilvl="0" w:tplc="73C83AD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0F6B"/>
    <w:multiLevelType w:val="hybridMultilevel"/>
    <w:tmpl w:val="4D0880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F3EEC"/>
    <w:multiLevelType w:val="hybridMultilevel"/>
    <w:tmpl w:val="4D9835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752C09"/>
    <w:multiLevelType w:val="hybridMultilevel"/>
    <w:tmpl w:val="A2B0B99E"/>
    <w:lvl w:ilvl="0" w:tplc="CA7ED0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34"/>
    <w:rsid w:val="00011396"/>
    <w:rsid w:val="000165AB"/>
    <w:rsid w:val="00022905"/>
    <w:rsid w:val="00026361"/>
    <w:rsid w:val="0003226E"/>
    <w:rsid w:val="00032A2A"/>
    <w:rsid w:val="0004306C"/>
    <w:rsid w:val="00044075"/>
    <w:rsid w:val="00046BA8"/>
    <w:rsid w:val="000472B6"/>
    <w:rsid w:val="00052E88"/>
    <w:rsid w:val="00056C71"/>
    <w:rsid w:val="00057066"/>
    <w:rsid w:val="00066B9B"/>
    <w:rsid w:val="00066CC6"/>
    <w:rsid w:val="00072F1F"/>
    <w:rsid w:val="00074FEA"/>
    <w:rsid w:val="0008067A"/>
    <w:rsid w:val="00080D88"/>
    <w:rsid w:val="00083956"/>
    <w:rsid w:val="0009695E"/>
    <w:rsid w:val="000B1E33"/>
    <w:rsid w:val="000B21EC"/>
    <w:rsid w:val="000B22D9"/>
    <w:rsid w:val="000B3056"/>
    <w:rsid w:val="000B6EBC"/>
    <w:rsid w:val="000C2B95"/>
    <w:rsid w:val="000C543E"/>
    <w:rsid w:val="000D1AE4"/>
    <w:rsid w:val="000D2908"/>
    <w:rsid w:val="000D65C1"/>
    <w:rsid w:val="000E6AF9"/>
    <w:rsid w:val="000E725F"/>
    <w:rsid w:val="0010074E"/>
    <w:rsid w:val="00104E29"/>
    <w:rsid w:val="00112B4C"/>
    <w:rsid w:val="001149EA"/>
    <w:rsid w:val="001156F6"/>
    <w:rsid w:val="00136B72"/>
    <w:rsid w:val="00137329"/>
    <w:rsid w:val="00140BC7"/>
    <w:rsid w:val="0014246D"/>
    <w:rsid w:val="00143DCE"/>
    <w:rsid w:val="00144539"/>
    <w:rsid w:val="00147A26"/>
    <w:rsid w:val="00156352"/>
    <w:rsid w:val="0018227F"/>
    <w:rsid w:val="001939DB"/>
    <w:rsid w:val="001A3497"/>
    <w:rsid w:val="001A3C33"/>
    <w:rsid w:val="001A68D4"/>
    <w:rsid w:val="001B1A6B"/>
    <w:rsid w:val="001B5104"/>
    <w:rsid w:val="001C03CC"/>
    <w:rsid w:val="001C5B3A"/>
    <w:rsid w:val="001C74DF"/>
    <w:rsid w:val="001D014B"/>
    <w:rsid w:val="001D0F31"/>
    <w:rsid w:val="001D58A3"/>
    <w:rsid w:val="001E3416"/>
    <w:rsid w:val="001F0A04"/>
    <w:rsid w:val="001F14DC"/>
    <w:rsid w:val="001F6EAC"/>
    <w:rsid w:val="001F6F2A"/>
    <w:rsid w:val="00203468"/>
    <w:rsid w:val="00205D00"/>
    <w:rsid w:val="00212112"/>
    <w:rsid w:val="002136BC"/>
    <w:rsid w:val="0021457E"/>
    <w:rsid w:val="002219A8"/>
    <w:rsid w:val="00226782"/>
    <w:rsid w:val="002333F0"/>
    <w:rsid w:val="0024594F"/>
    <w:rsid w:val="0025486E"/>
    <w:rsid w:val="002661DF"/>
    <w:rsid w:val="00275AD0"/>
    <w:rsid w:val="0028477A"/>
    <w:rsid w:val="00284E93"/>
    <w:rsid w:val="00287407"/>
    <w:rsid w:val="002A169F"/>
    <w:rsid w:val="002A7EA5"/>
    <w:rsid w:val="002B1214"/>
    <w:rsid w:val="002B18B6"/>
    <w:rsid w:val="002B27C1"/>
    <w:rsid w:val="002C0602"/>
    <w:rsid w:val="002C273B"/>
    <w:rsid w:val="002C7E87"/>
    <w:rsid w:val="002D6281"/>
    <w:rsid w:val="002D696F"/>
    <w:rsid w:val="002D7BC4"/>
    <w:rsid w:val="002E4667"/>
    <w:rsid w:val="002E4C21"/>
    <w:rsid w:val="002E68D6"/>
    <w:rsid w:val="002E7A3D"/>
    <w:rsid w:val="002F0204"/>
    <w:rsid w:val="00301978"/>
    <w:rsid w:val="00307077"/>
    <w:rsid w:val="00316003"/>
    <w:rsid w:val="0032536C"/>
    <w:rsid w:val="003347CA"/>
    <w:rsid w:val="00341B68"/>
    <w:rsid w:val="00346D34"/>
    <w:rsid w:val="003518FB"/>
    <w:rsid w:val="00353CBD"/>
    <w:rsid w:val="00362F3B"/>
    <w:rsid w:val="00366109"/>
    <w:rsid w:val="003708A8"/>
    <w:rsid w:val="003709B1"/>
    <w:rsid w:val="00374F30"/>
    <w:rsid w:val="00375EDF"/>
    <w:rsid w:val="003762EC"/>
    <w:rsid w:val="00383094"/>
    <w:rsid w:val="00384369"/>
    <w:rsid w:val="00386F7C"/>
    <w:rsid w:val="0039521C"/>
    <w:rsid w:val="003A19B9"/>
    <w:rsid w:val="003A5CA5"/>
    <w:rsid w:val="003B5DCD"/>
    <w:rsid w:val="003C4934"/>
    <w:rsid w:val="003C4B22"/>
    <w:rsid w:val="003F21C5"/>
    <w:rsid w:val="003F715A"/>
    <w:rsid w:val="004017DF"/>
    <w:rsid w:val="00417592"/>
    <w:rsid w:val="00417A0C"/>
    <w:rsid w:val="00430482"/>
    <w:rsid w:val="00434033"/>
    <w:rsid w:val="004420CA"/>
    <w:rsid w:val="004436F7"/>
    <w:rsid w:val="00444453"/>
    <w:rsid w:val="00444624"/>
    <w:rsid w:val="00444B22"/>
    <w:rsid w:val="00447AB5"/>
    <w:rsid w:val="00451EDF"/>
    <w:rsid w:val="004647AD"/>
    <w:rsid w:val="004754A6"/>
    <w:rsid w:val="00476B48"/>
    <w:rsid w:val="004801A6"/>
    <w:rsid w:val="00481450"/>
    <w:rsid w:val="004849FF"/>
    <w:rsid w:val="00485A59"/>
    <w:rsid w:val="00486536"/>
    <w:rsid w:val="00490428"/>
    <w:rsid w:val="00493134"/>
    <w:rsid w:val="00496FB4"/>
    <w:rsid w:val="004A70CA"/>
    <w:rsid w:val="004C530F"/>
    <w:rsid w:val="004D1A7C"/>
    <w:rsid w:val="004D3C60"/>
    <w:rsid w:val="004D3E7A"/>
    <w:rsid w:val="004D7CF2"/>
    <w:rsid w:val="004E6A87"/>
    <w:rsid w:val="004E6DD5"/>
    <w:rsid w:val="004F1B0D"/>
    <w:rsid w:val="004F636E"/>
    <w:rsid w:val="004F7B63"/>
    <w:rsid w:val="005030E2"/>
    <w:rsid w:val="00513825"/>
    <w:rsid w:val="0051560D"/>
    <w:rsid w:val="0052071C"/>
    <w:rsid w:val="005214CD"/>
    <w:rsid w:val="00525EDB"/>
    <w:rsid w:val="00526CC3"/>
    <w:rsid w:val="00531A5F"/>
    <w:rsid w:val="0053277E"/>
    <w:rsid w:val="005407CD"/>
    <w:rsid w:val="00553AF3"/>
    <w:rsid w:val="005630DC"/>
    <w:rsid w:val="0058418C"/>
    <w:rsid w:val="00585BF9"/>
    <w:rsid w:val="00587F71"/>
    <w:rsid w:val="00593BE6"/>
    <w:rsid w:val="005B395A"/>
    <w:rsid w:val="005B4405"/>
    <w:rsid w:val="005B4E00"/>
    <w:rsid w:val="005B72E6"/>
    <w:rsid w:val="005C2AC7"/>
    <w:rsid w:val="005C570B"/>
    <w:rsid w:val="005D082F"/>
    <w:rsid w:val="005D0B83"/>
    <w:rsid w:val="005D329B"/>
    <w:rsid w:val="005E0514"/>
    <w:rsid w:val="005F1103"/>
    <w:rsid w:val="005F36CD"/>
    <w:rsid w:val="00605EEC"/>
    <w:rsid w:val="00611F6D"/>
    <w:rsid w:val="00612884"/>
    <w:rsid w:val="006246DC"/>
    <w:rsid w:val="00627B49"/>
    <w:rsid w:val="00634CE2"/>
    <w:rsid w:val="00653783"/>
    <w:rsid w:val="0066130F"/>
    <w:rsid w:val="0066149A"/>
    <w:rsid w:val="00662129"/>
    <w:rsid w:val="00670093"/>
    <w:rsid w:val="00675E3B"/>
    <w:rsid w:val="0068278C"/>
    <w:rsid w:val="00683E6B"/>
    <w:rsid w:val="00690AC0"/>
    <w:rsid w:val="00693C08"/>
    <w:rsid w:val="006A2478"/>
    <w:rsid w:val="006B2948"/>
    <w:rsid w:val="006C03D4"/>
    <w:rsid w:val="006C5FA7"/>
    <w:rsid w:val="006C7297"/>
    <w:rsid w:val="006D3F79"/>
    <w:rsid w:val="006D670C"/>
    <w:rsid w:val="006D724E"/>
    <w:rsid w:val="006E174D"/>
    <w:rsid w:val="00702D11"/>
    <w:rsid w:val="00702F45"/>
    <w:rsid w:val="007111C9"/>
    <w:rsid w:val="00724270"/>
    <w:rsid w:val="007273EA"/>
    <w:rsid w:val="00727C3D"/>
    <w:rsid w:val="00731BDA"/>
    <w:rsid w:val="00731D0A"/>
    <w:rsid w:val="00743A67"/>
    <w:rsid w:val="00750496"/>
    <w:rsid w:val="00755656"/>
    <w:rsid w:val="0076105B"/>
    <w:rsid w:val="00774262"/>
    <w:rsid w:val="007817A0"/>
    <w:rsid w:val="007830E5"/>
    <w:rsid w:val="007838C6"/>
    <w:rsid w:val="00793C74"/>
    <w:rsid w:val="007A1901"/>
    <w:rsid w:val="007A3BDA"/>
    <w:rsid w:val="007B36DE"/>
    <w:rsid w:val="007B3AFA"/>
    <w:rsid w:val="007C074E"/>
    <w:rsid w:val="007C1DA8"/>
    <w:rsid w:val="007C4CC4"/>
    <w:rsid w:val="007D097C"/>
    <w:rsid w:val="007D3A73"/>
    <w:rsid w:val="007D6C98"/>
    <w:rsid w:val="007F29A3"/>
    <w:rsid w:val="007F580A"/>
    <w:rsid w:val="007F6DB3"/>
    <w:rsid w:val="00803F83"/>
    <w:rsid w:val="008140EB"/>
    <w:rsid w:val="0081467F"/>
    <w:rsid w:val="00823F8E"/>
    <w:rsid w:val="008275D3"/>
    <w:rsid w:val="008279C0"/>
    <w:rsid w:val="00827F54"/>
    <w:rsid w:val="008315ED"/>
    <w:rsid w:val="00833ABF"/>
    <w:rsid w:val="00833FCF"/>
    <w:rsid w:val="0083510D"/>
    <w:rsid w:val="00835F05"/>
    <w:rsid w:val="00836C55"/>
    <w:rsid w:val="00844D0C"/>
    <w:rsid w:val="00845B30"/>
    <w:rsid w:val="00854E4B"/>
    <w:rsid w:val="008550F3"/>
    <w:rsid w:val="008601D3"/>
    <w:rsid w:val="00864DD0"/>
    <w:rsid w:val="00867F4D"/>
    <w:rsid w:val="00872C52"/>
    <w:rsid w:val="00880597"/>
    <w:rsid w:val="00887606"/>
    <w:rsid w:val="008877A9"/>
    <w:rsid w:val="008A0BA4"/>
    <w:rsid w:val="008A4C0D"/>
    <w:rsid w:val="008A6729"/>
    <w:rsid w:val="008B078B"/>
    <w:rsid w:val="008B0DE2"/>
    <w:rsid w:val="008B3BBC"/>
    <w:rsid w:val="008C01EF"/>
    <w:rsid w:val="008C190B"/>
    <w:rsid w:val="008D262E"/>
    <w:rsid w:val="008E1A32"/>
    <w:rsid w:val="008E5738"/>
    <w:rsid w:val="008F03BC"/>
    <w:rsid w:val="008F28A8"/>
    <w:rsid w:val="008F3B34"/>
    <w:rsid w:val="008F44CD"/>
    <w:rsid w:val="00901F51"/>
    <w:rsid w:val="009229D4"/>
    <w:rsid w:val="0094271D"/>
    <w:rsid w:val="0094301D"/>
    <w:rsid w:val="00946193"/>
    <w:rsid w:val="0095223B"/>
    <w:rsid w:val="00953739"/>
    <w:rsid w:val="00962B61"/>
    <w:rsid w:val="00964185"/>
    <w:rsid w:val="009802D0"/>
    <w:rsid w:val="0098142D"/>
    <w:rsid w:val="00982C3C"/>
    <w:rsid w:val="0099156A"/>
    <w:rsid w:val="009A49F3"/>
    <w:rsid w:val="009A64A4"/>
    <w:rsid w:val="009A761E"/>
    <w:rsid w:val="009C36BB"/>
    <w:rsid w:val="009C738D"/>
    <w:rsid w:val="009D48AF"/>
    <w:rsid w:val="009D636B"/>
    <w:rsid w:val="009D7445"/>
    <w:rsid w:val="009F1313"/>
    <w:rsid w:val="009F73B7"/>
    <w:rsid w:val="00A06F9F"/>
    <w:rsid w:val="00A11C61"/>
    <w:rsid w:val="00A17E9E"/>
    <w:rsid w:val="00A26580"/>
    <w:rsid w:val="00A27E10"/>
    <w:rsid w:val="00A30D76"/>
    <w:rsid w:val="00A3240E"/>
    <w:rsid w:val="00A341FA"/>
    <w:rsid w:val="00A3711E"/>
    <w:rsid w:val="00A50ACD"/>
    <w:rsid w:val="00A56260"/>
    <w:rsid w:val="00A57049"/>
    <w:rsid w:val="00A66767"/>
    <w:rsid w:val="00A7221B"/>
    <w:rsid w:val="00A72627"/>
    <w:rsid w:val="00A73A08"/>
    <w:rsid w:val="00A7457C"/>
    <w:rsid w:val="00A77D52"/>
    <w:rsid w:val="00A85EC7"/>
    <w:rsid w:val="00A9460F"/>
    <w:rsid w:val="00AA2D17"/>
    <w:rsid w:val="00AB7F49"/>
    <w:rsid w:val="00AC091B"/>
    <w:rsid w:val="00AC17F9"/>
    <w:rsid w:val="00AC3295"/>
    <w:rsid w:val="00AD0E0A"/>
    <w:rsid w:val="00AE0C62"/>
    <w:rsid w:val="00AE4E1F"/>
    <w:rsid w:val="00AF7A0F"/>
    <w:rsid w:val="00B017A6"/>
    <w:rsid w:val="00B11756"/>
    <w:rsid w:val="00B1425B"/>
    <w:rsid w:val="00B2416F"/>
    <w:rsid w:val="00B45CB0"/>
    <w:rsid w:val="00B51E1B"/>
    <w:rsid w:val="00B72CEA"/>
    <w:rsid w:val="00B75223"/>
    <w:rsid w:val="00B80961"/>
    <w:rsid w:val="00B8182B"/>
    <w:rsid w:val="00B822C1"/>
    <w:rsid w:val="00B86F27"/>
    <w:rsid w:val="00B87D05"/>
    <w:rsid w:val="00B95FCF"/>
    <w:rsid w:val="00BA5474"/>
    <w:rsid w:val="00BD0099"/>
    <w:rsid w:val="00BD56E3"/>
    <w:rsid w:val="00BE7126"/>
    <w:rsid w:val="00BF05E9"/>
    <w:rsid w:val="00BF0F0E"/>
    <w:rsid w:val="00BF3B44"/>
    <w:rsid w:val="00BF667D"/>
    <w:rsid w:val="00C027BE"/>
    <w:rsid w:val="00C02BD8"/>
    <w:rsid w:val="00C12568"/>
    <w:rsid w:val="00C1328C"/>
    <w:rsid w:val="00C20A72"/>
    <w:rsid w:val="00C27F00"/>
    <w:rsid w:val="00C3176A"/>
    <w:rsid w:val="00C349F7"/>
    <w:rsid w:val="00C412DA"/>
    <w:rsid w:val="00C51E95"/>
    <w:rsid w:val="00C53D8A"/>
    <w:rsid w:val="00C55C0C"/>
    <w:rsid w:val="00C61749"/>
    <w:rsid w:val="00C64A77"/>
    <w:rsid w:val="00C712A2"/>
    <w:rsid w:val="00C81BF2"/>
    <w:rsid w:val="00C85771"/>
    <w:rsid w:val="00C93E7A"/>
    <w:rsid w:val="00C95699"/>
    <w:rsid w:val="00C97C1A"/>
    <w:rsid w:val="00CB054E"/>
    <w:rsid w:val="00CB4324"/>
    <w:rsid w:val="00CC0F23"/>
    <w:rsid w:val="00CD1027"/>
    <w:rsid w:val="00CF1477"/>
    <w:rsid w:val="00CF4930"/>
    <w:rsid w:val="00CF793D"/>
    <w:rsid w:val="00D0017B"/>
    <w:rsid w:val="00D029D2"/>
    <w:rsid w:val="00D04A4D"/>
    <w:rsid w:val="00D10AA7"/>
    <w:rsid w:val="00D22FA9"/>
    <w:rsid w:val="00D238AA"/>
    <w:rsid w:val="00D2609E"/>
    <w:rsid w:val="00D26648"/>
    <w:rsid w:val="00D3329C"/>
    <w:rsid w:val="00D360AC"/>
    <w:rsid w:val="00D37D18"/>
    <w:rsid w:val="00D435AF"/>
    <w:rsid w:val="00D47A38"/>
    <w:rsid w:val="00D47ABE"/>
    <w:rsid w:val="00D64A3C"/>
    <w:rsid w:val="00D75D2B"/>
    <w:rsid w:val="00D77124"/>
    <w:rsid w:val="00D81F5D"/>
    <w:rsid w:val="00D82912"/>
    <w:rsid w:val="00D836C5"/>
    <w:rsid w:val="00D87F09"/>
    <w:rsid w:val="00D90068"/>
    <w:rsid w:val="00D91C4F"/>
    <w:rsid w:val="00D97B29"/>
    <w:rsid w:val="00DA13AA"/>
    <w:rsid w:val="00DA6BE0"/>
    <w:rsid w:val="00DB6395"/>
    <w:rsid w:val="00DC2C95"/>
    <w:rsid w:val="00DC59EB"/>
    <w:rsid w:val="00DD0BF0"/>
    <w:rsid w:val="00DD1B18"/>
    <w:rsid w:val="00DE2979"/>
    <w:rsid w:val="00DE3AE5"/>
    <w:rsid w:val="00DF2531"/>
    <w:rsid w:val="00DF7222"/>
    <w:rsid w:val="00DF7AD8"/>
    <w:rsid w:val="00E04311"/>
    <w:rsid w:val="00E11061"/>
    <w:rsid w:val="00E11B1C"/>
    <w:rsid w:val="00E12877"/>
    <w:rsid w:val="00E1701F"/>
    <w:rsid w:val="00E217B0"/>
    <w:rsid w:val="00E365B6"/>
    <w:rsid w:val="00E37240"/>
    <w:rsid w:val="00E37BA1"/>
    <w:rsid w:val="00E4471F"/>
    <w:rsid w:val="00E472FB"/>
    <w:rsid w:val="00E479A5"/>
    <w:rsid w:val="00E47E02"/>
    <w:rsid w:val="00E55E78"/>
    <w:rsid w:val="00E567D3"/>
    <w:rsid w:val="00E61693"/>
    <w:rsid w:val="00E624E3"/>
    <w:rsid w:val="00E659C3"/>
    <w:rsid w:val="00E66CD4"/>
    <w:rsid w:val="00E86F29"/>
    <w:rsid w:val="00E95B54"/>
    <w:rsid w:val="00E96EF4"/>
    <w:rsid w:val="00E974DF"/>
    <w:rsid w:val="00E97894"/>
    <w:rsid w:val="00EA15E6"/>
    <w:rsid w:val="00EA2881"/>
    <w:rsid w:val="00EA47D1"/>
    <w:rsid w:val="00EB4BAE"/>
    <w:rsid w:val="00EB50DC"/>
    <w:rsid w:val="00EB5452"/>
    <w:rsid w:val="00EC6056"/>
    <w:rsid w:val="00ED31B2"/>
    <w:rsid w:val="00ED35FA"/>
    <w:rsid w:val="00EE0B87"/>
    <w:rsid w:val="00EE14B7"/>
    <w:rsid w:val="00EE3C32"/>
    <w:rsid w:val="00EE5BA3"/>
    <w:rsid w:val="00EE5FC7"/>
    <w:rsid w:val="00EE7C9E"/>
    <w:rsid w:val="00EF0022"/>
    <w:rsid w:val="00F0241A"/>
    <w:rsid w:val="00F02B58"/>
    <w:rsid w:val="00F03670"/>
    <w:rsid w:val="00F04E99"/>
    <w:rsid w:val="00F05BEB"/>
    <w:rsid w:val="00F1427C"/>
    <w:rsid w:val="00F14280"/>
    <w:rsid w:val="00F15907"/>
    <w:rsid w:val="00F2086D"/>
    <w:rsid w:val="00F2462A"/>
    <w:rsid w:val="00F261B6"/>
    <w:rsid w:val="00F51ACB"/>
    <w:rsid w:val="00F54B2C"/>
    <w:rsid w:val="00F60507"/>
    <w:rsid w:val="00F629BD"/>
    <w:rsid w:val="00F65D83"/>
    <w:rsid w:val="00F6796A"/>
    <w:rsid w:val="00F7386E"/>
    <w:rsid w:val="00F77672"/>
    <w:rsid w:val="00F77E56"/>
    <w:rsid w:val="00F81257"/>
    <w:rsid w:val="00F830B1"/>
    <w:rsid w:val="00F83570"/>
    <w:rsid w:val="00F83FA2"/>
    <w:rsid w:val="00F84891"/>
    <w:rsid w:val="00F90EA6"/>
    <w:rsid w:val="00F94A20"/>
    <w:rsid w:val="00F95501"/>
    <w:rsid w:val="00FA21B9"/>
    <w:rsid w:val="00FA5C99"/>
    <w:rsid w:val="00FB0E3C"/>
    <w:rsid w:val="00FB30FB"/>
    <w:rsid w:val="00FB44B3"/>
    <w:rsid w:val="00FB4A76"/>
    <w:rsid w:val="00FC5EF2"/>
    <w:rsid w:val="00FC66E9"/>
    <w:rsid w:val="00FC75F8"/>
    <w:rsid w:val="00FD2747"/>
    <w:rsid w:val="00FD5B34"/>
    <w:rsid w:val="00FE04E3"/>
    <w:rsid w:val="00FE4803"/>
    <w:rsid w:val="00FE71B2"/>
    <w:rsid w:val="00FF233D"/>
    <w:rsid w:val="00FF28F3"/>
    <w:rsid w:val="00FF33B0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AEFC0"/>
  <w15:docId w15:val="{73965030-32E7-4718-93FE-DACB268C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0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F02B58"/>
    <w:rPr>
      <w:rFonts w:ascii="Calibri" w:hAnsi="Calibri" w:cs="Calibri"/>
      <w:lang w:eastAsia="en-US"/>
    </w:rPr>
  </w:style>
  <w:style w:type="paragraph" w:styleId="Prrafodelista">
    <w:name w:val="List Paragraph"/>
    <w:basedOn w:val="Normal"/>
    <w:uiPriority w:val="34"/>
    <w:qFormat/>
    <w:rsid w:val="00C93E7A"/>
    <w:pPr>
      <w:ind w:left="720"/>
    </w:pPr>
  </w:style>
  <w:style w:type="paragraph" w:customStyle="1" w:styleId="Default">
    <w:name w:val="Default"/>
    <w:uiPriority w:val="99"/>
    <w:rsid w:val="00750496"/>
    <w:pPr>
      <w:autoSpaceDE w:val="0"/>
      <w:autoSpaceDN w:val="0"/>
      <w:adjustRightInd w:val="0"/>
    </w:pPr>
    <w:rPr>
      <w:rFonts w:ascii="Microsoft PhagsPa" w:hAnsi="Microsoft PhagsPa" w:cs="Microsoft PhagsPa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B87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99"/>
    <w:rsid w:val="00104E29"/>
    <w:rPr>
      <w:rFonts w:ascii="Calibri" w:hAnsi="Calibri" w:cs="Calibri"/>
      <w:lang w:eastAsia="en-US"/>
    </w:rPr>
  </w:style>
  <w:style w:type="character" w:customStyle="1" w:styleId="A7">
    <w:name w:val="A7"/>
    <w:uiPriority w:val="99"/>
    <w:rsid w:val="003C4B22"/>
    <w:rPr>
      <w:rFonts w:ascii="Helvetica 55" w:hAnsi="Helvetica 55" w:cs="Helvetica 55"/>
      <w:color w:val="211D1E"/>
      <w:sz w:val="19"/>
      <w:szCs w:val="19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830E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830E5"/>
    <w:rPr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30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30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TURQUIA Y DUBAI EN REYES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TURQUIA Y DUBAI EN REYES</dc:title>
  <dc:subject/>
  <dc:creator>Contabilidad</dc:creator>
  <cp:keywords/>
  <dc:description/>
  <cp:lastModifiedBy>Sub Direccion</cp:lastModifiedBy>
  <cp:revision>2</cp:revision>
  <cp:lastPrinted>2019-12-27T20:06:00Z</cp:lastPrinted>
  <dcterms:created xsi:type="dcterms:W3CDTF">2021-01-29T01:15:00Z</dcterms:created>
  <dcterms:modified xsi:type="dcterms:W3CDTF">2021-01-29T01:15:00Z</dcterms:modified>
</cp:coreProperties>
</file>